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15BB5">
      <w:pPr>
        <w:spacing w:line="520" w:lineRule="exact"/>
        <w:rPr>
          <w:rFonts w:ascii="仿宋_GB2312" w:eastAsia="仿宋_GB2312"/>
        </w:rPr>
      </w:pPr>
    </w:p>
    <w:p w14:paraId="342695B2">
      <w:pPr>
        <w:spacing w:line="520" w:lineRule="exact"/>
        <w:rPr>
          <w:rFonts w:ascii="仿宋_GB2312" w:eastAsia="仿宋_GB2312"/>
        </w:rPr>
      </w:pPr>
    </w:p>
    <w:p w14:paraId="13148FEE">
      <w:pPr>
        <w:spacing w:line="520" w:lineRule="exact"/>
        <w:ind w:firstLine="630" w:firstLineChars="300"/>
        <w:rPr>
          <w:rFonts w:ascii="楷体" w:eastAsia="仿宋_GB2312"/>
        </w:rPr>
      </w:pPr>
      <w:r>
        <w:rPr>
          <w:rFonts w:hint="eastAsia" w:ascii="仿宋_GB2312" w:eastAsia="仿宋_GB2312"/>
        </w:rPr>
        <w:t>镇*字〔2018〕**号                         签发人：秦高晋</w:t>
      </w:r>
    </w:p>
    <w:p w14:paraId="727180C2">
      <w:pPr>
        <w:spacing w:line="420" w:lineRule="exact"/>
        <w:rPr>
          <w:rFonts w:ascii="仿宋_GB2312" w:eastAsia="仿宋_GB2312"/>
        </w:rPr>
      </w:pPr>
    </w:p>
    <w:p w14:paraId="60E1522B">
      <w:pPr>
        <w:spacing w:line="640" w:lineRule="exact"/>
        <w:rPr>
          <w:rFonts w:ascii="方正小标宋简体" w:hAnsi="方正小标宋简体" w:eastAsia="方正小标宋简体" w:cs="方正小标宋简体"/>
          <w:b/>
          <w:bCs/>
          <w:sz w:val="44"/>
          <w:szCs w:val="44"/>
        </w:rPr>
      </w:pPr>
    </w:p>
    <w:p w14:paraId="574D88DE">
      <w:pPr>
        <w:spacing w:line="64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镇安县总工会</w:t>
      </w:r>
    </w:p>
    <w:p w14:paraId="5AC04526">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000000"/>
          <w:sz w:val="44"/>
          <w:szCs w:val="44"/>
        </w:rPr>
        <w:t>关于县工会</w:t>
      </w:r>
      <w:r>
        <w:rPr>
          <w:rFonts w:hint="eastAsia" w:ascii="方正小标宋简体" w:hAnsi="方正小标宋简体" w:eastAsia="方正小标宋简体" w:cs="方正小标宋简体"/>
          <w:b/>
          <w:bCs/>
          <w:color w:val="000000"/>
          <w:kern w:val="0"/>
          <w:sz w:val="44"/>
          <w:szCs w:val="44"/>
        </w:rPr>
        <w:t>2017</w:t>
      </w:r>
      <w:r>
        <w:rPr>
          <w:rFonts w:hint="eastAsia" w:ascii="方正小标宋简体" w:hAnsi="方正小标宋简体" w:eastAsia="方正小标宋简体" w:cs="方正小标宋简体"/>
          <w:b/>
          <w:bCs/>
          <w:color w:val="000000"/>
          <w:sz w:val="44"/>
          <w:szCs w:val="44"/>
        </w:rPr>
        <w:t>年部门决算公开的报告</w:t>
      </w:r>
    </w:p>
    <w:p w14:paraId="28E0BB3B">
      <w:pPr>
        <w:spacing w:line="640" w:lineRule="exact"/>
        <w:jc w:val="center"/>
        <w:rPr>
          <w:rFonts w:ascii="方正小标宋简体" w:hAnsi="方正小标宋简体" w:eastAsia="方正小标宋简体" w:cs="方正小标宋简体"/>
          <w:sz w:val="44"/>
          <w:szCs w:val="44"/>
        </w:rPr>
      </w:pPr>
    </w:p>
    <w:p w14:paraId="00FF2182">
      <w:pPr>
        <w:widowControl/>
        <w:spacing w:line="600" w:lineRule="exact"/>
        <w:rPr>
          <w:b/>
          <w:bCs/>
          <w:color w:val="353535"/>
          <w:sz w:val="36"/>
          <w:szCs w:val="36"/>
        </w:rPr>
      </w:pPr>
      <w:r>
        <w:rPr>
          <w:rFonts w:hint="eastAsia" w:ascii="仿宋_GB2312" w:eastAsia="仿宋_GB2312" w:cs="宋体"/>
          <w:color w:val="000000"/>
          <w:kern w:val="0"/>
          <w:sz w:val="32"/>
          <w:szCs w:val="32"/>
        </w:rPr>
        <w:t>镇安县财政局：</w:t>
      </w:r>
    </w:p>
    <w:p w14:paraId="574CB666">
      <w:pPr>
        <w:widowControl/>
        <w:spacing w:line="500" w:lineRule="exact"/>
        <w:ind w:firstLine="320" w:firstLineChars="100"/>
        <w:jc w:val="left"/>
        <w:rPr>
          <w:rFonts w:ascii="黑体" w:hAnsi="黑体" w:eastAsia="黑体"/>
          <w:sz w:val="32"/>
          <w:szCs w:val="32"/>
        </w:rPr>
      </w:pPr>
      <w:r>
        <w:rPr>
          <w:rFonts w:hint="eastAsia" w:ascii="黑体" w:hAnsi="黑体" w:eastAsia="黑体"/>
          <w:sz w:val="32"/>
          <w:szCs w:val="32"/>
        </w:rPr>
        <w:t>一、部门主要职责</w:t>
      </w:r>
    </w:p>
    <w:p w14:paraId="6FF70AE5">
      <w:pPr>
        <w:widowControl/>
        <w:spacing w:line="500" w:lineRule="exact"/>
        <w:jc w:val="left"/>
        <w:rPr>
          <w:rFonts w:ascii="仿宋" w:hAnsi="仿宋" w:eastAsia="仿宋"/>
          <w:sz w:val="30"/>
          <w:szCs w:val="30"/>
        </w:rPr>
      </w:pPr>
      <w:r>
        <w:rPr>
          <w:rFonts w:hint="eastAsia" w:ascii="仿宋_GB2312" w:hAnsi="宋体" w:eastAsia="仿宋_GB2312" w:cs="宋体"/>
          <w:color w:val="353535"/>
          <w:kern w:val="0"/>
          <w:sz w:val="32"/>
          <w:szCs w:val="32"/>
        </w:rPr>
        <w:t xml:space="preserve">    镇安县总工会为副县级社会团体单位，</w:t>
      </w:r>
      <w:r>
        <w:rPr>
          <w:rFonts w:ascii="仿宋" w:hAnsi="仿宋" w:eastAsia="仿宋"/>
          <w:sz w:val="30"/>
          <w:szCs w:val="30"/>
        </w:rPr>
        <w:t>在党委领导下的职工自愿结合的工人阶级群众组织，是党联系职工群众的桥梁和纽带，是全员职工代表大会的办事机构，</w:t>
      </w:r>
      <w:r>
        <w:rPr>
          <w:rFonts w:hint="eastAsia" w:ascii="仿宋_GB2312" w:hAnsi="宋体" w:eastAsia="仿宋_GB2312" w:cs="宋体"/>
          <w:color w:val="353535"/>
          <w:kern w:val="0"/>
          <w:sz w:val="32"/>
          <w:szCs w:val="32"/>
        </w:rPr>
        <w:t>部门</w:t>
      </w:r>
      <w:r>
        <w:rPr>
          <w:rFonts w:ascii="仿宋" w:hAnsi="仿宋" w:eastAsia="仿宋"/>
          <w:sz w:val="30"/>
          <w:szCs w:val="30"/>
        </w:rPr>
        <w:t>主要职责是：</w:t>
      </w:r>
    </w:p>
    <w:p w14:paraId="0D2710D9">
      <w:pPr>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1、</w:t>
      </w:r>
      <w:r>
        <w:rPr>
          <w:rFonts w:ascii="仿宋" w:hAnsi="仿宋" w:eastAsia="仿宋"/>
          <w:color w:val="353535"/>
          <w:sz w:val="30"/>
          <w:szCs w:val="30"/>
        </w:rPr>
        <w:t>加强职工教育，做好职工的思想政治工作，提高广大职工的政治素质，为改革、发展、稳定奠定坚实的思想基础</w:t>
      </w:r>
      <w:r>
        <w:rPr>
          <w:rFonts w:hint="eastAsia" w:ascii="仿宋" w:hAnsi="仿宋" w:eastAsia="仿宋"/>
          <w:color w:val="353535"/>
          <w:sz w:val="30"/>
          <w:szCs w:val="30"/>
        </w:rPr>
        <w:t>。</w:t>
      </w:r>
    </w:p>
    <w:p w14:paraId="5142001B">
      <w:pPr>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2、</w:t>
      </w:r>
      <w:r>
        <w:rPr>
          <w:rFonts w:ascii="仿宋" w:hAnsi="仿宋" w:eastAsia="仿宋"/>
          <w:color w:val="353535"/>
          <w:sz w:val="30"/>
          <w:szCs w:val="30"/>
        </w:rPr>
        <w:t>积极开展“源头”参与，维护职工合法权益，检查和监督劳动保护条例的实施，维护职工的安全与健康。实施送温暖工程，搞好困难职工和劳模的走访慰问送温暖活动。</w:t>
      </w:r>
    </w:p>
    <w:p w14:paraId="249C160E">
      <w:pPr>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3、</w:t>
      </w:r>
      <w:r>
        <w:rPr>
          <w:rFonts w:ascii="仿宋" w:hAnsi="仿宋" w:eastAsia="仿宋"/>
          <w:color w:val="353535"/>
          <w:sz w:val="30"/>
          <w:szCs w:val="30"/>
        </w:rPr>
        <w:t>加强企业民主管理工作，推行平等协商签订集体合同和“厂务公开”制度，维护职工的民主权利，推动党的全心全意依靠工人阶级方针的贯彻落实。</w:t>
      </w:r>
    </w:p>
    <w:p w14:paraId="5CB0F61B">
      <w:pPr>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4、</w:t>
      </w:r>
      <w:r>
        <w:rPr>
          <w:rFonts w:ascii="仿宋" w:hAnsi="仿宋" w:eastAsia="仿宋"/>
          <w:color w:val="353535"/>
          <w:sz w:val="30"/>
          <w:szCs w:val="30"/>
        </w:rPr>
        <w:t>建立健全工会组织，加强各级工会的组织建设，特别是新经济组织和非公有制企业的工会组织建设，确保职工队伍的稳定。</w:t>
      </w:r>
    </w:p>
    <w:p w14:paraId="0541F6CA">
      <w:pPr>
        <w:spacing w:line="500" w:lineRule="exact"/>
        <w:ind w:firstLine="600" w:firstLineChars="200"/>
        <w:rPr>
          <w:rFonts w:ascii="仿宋" w:hAnsi="仿宋" w:eastAsia="仿宋"/>
          <w:sz w:val="30"/>
          <w:szCs w:val="30"/>
        </w:rPr>
      </w:pPr>
      <w:r>
        <w:rPr>
          <w:rFonts w:hint="eastAsia" w:ascii="仿宋" w:hAnsi="仿宋" w:eastAsia="仿宋"/>
          <w:color w:val="353535"/>
          <w:sz w:val="30"/>
          <w:szCs w:val="30"/>
        </w:rPr>
        <w:t>5、</w:t>
      </w:r>
      <w:r>
        <w:rPr>
          <w:rFonts w:ascii="仿宋" w:hAnsi="仿宋" w:eastAsia="仿宋"/>
          <w:color w:val="353535"/>
          <w:sz w:val="30"/>
          <w:szCs w:val="30"/>
        </w:rPr>
        <w:t>组织和动员职工开展劳动竞赛和合理化建议活动，调动广大职工的生产积极性和创造性，为全县经济建设充分发挥工人阶级主力军的作用。</w:t>
      </w:r>
    </w:p>
    <w:p w14:paraId="60766A8A">
      <w:pPr>
        <w:pStyle w:val="5"/>
        <w:shd w:val="clear" w:color="auto" w:fill="FFFFFF"/>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6、</w:t>
      </w:r>
      <w:r>
        <w:rPr>
          <w:rFonts w:ascii="仿宋" w:hAnsi="仿宋" w:eastAsia="仿宋"/>
          <w:color w:val="353535"/>
          <w:sz w:val="30"/>
          <w:szCs w:val="30"/>
        </w:rPr>
        <w:t>建设职工之家，在各基层工会积极开展创建“模范职工之家”活动，并组织职工开展积极向上的文体活动。活跃职工文化生活，促进精神文明建设。</w:t>
      </w:r>
    </w:p>
    <w:p w14:paraId="78F10183">
      <w:pPr>
        <w:pStyle w:val="5"/>
        <w:shd w:val="clear" w:color="auto" w:fill="FFFFFF"/>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7、</w:t>
      </w:r>
      <w:r>
        <w:rPr>
          <w:rFonts w:ascii="仿宋" w:hAnsi="仿宋" w:eastAsia="仿宋"/>
          <w:color w:val="353535"/>
          <w:sz w:val="30"/>
          <w:szCs w:val="30"/>
        </w:rPr>
        <w:t>按照党和国家的政策规定，认真做好职工群众来信来访的接待和处理工作，密切与职工群众的联系。</w:t>
      </w:r>
    </w:p>
    <w:p w14:paraId="5F80BC60">
      <w:pPr>
        <w:pStyle w:val="5"/>
        <w:shd w:val="clear" w:color="auto" w:fill="FFFFFF"/>
        <w:spacing w:line="500" w:lineRule="exact"/>
        <w:ind w:firstLine="600" w:firstLineChars="200"/>
        <w:rPr>
          <w:rFonts w:ascii="仿宋" w:hAnsi="仿宋" w:eastAsia="仿宋"/>
          <w:color w:val="353535"/>
          <w:sz w:val="30"/>
          <w:szCs w:val="30"/>
        </w:rPr>
      </w:pPr>
      <w:r>
        <w:rPr>
          <w:rFonts w:hint="eastAsia" w:ascii="仿宋" w:hAnsi="仿宋" w:eastAsia="仿宋"/>
          <w:color w:val="353535"/>
          <w:sz w:val="30"/>
          <w:szCs w:val="30"/>
        </w:rPr>
        <w:t>8、</w:t>
      </w:r>
      <w:r>
        <w:rPr>
          <w:rFonts w:ascii="仿宋" w:hAnsi="仿宋" w:eastAsia="仿宋"/>
          <w:color w:val="353535"/>
          <w:sz w:val="30"/>
          <w:szCs w:val="30"/>
        </w:rPr>
        <w:t>贯彻党和政府及上级工会有关财务工作的方针政策，收好、管好、用好工会经费。加强女职工工作，维护女职工合法权益和特殊利益。</w:t>
      </w:r>
    </w:p>
    <w:p w14:paraId="136CA566">
      <w:pPr>
        <w:spacing w:line="500" w:lineRule="exact"/>
        <w:ind w:firstLine="600" w:firstLineChars="200"/>
        <w:rPr>
          <w:rFonts w:ascii="黑体" w:hAnsi="黑体" w:eastAsia="黑体"/>
          <w:sz w:val="32"/>
          <w:szCs w:val="32"/>
        </w:rPr>
      </w:pPr>
      <w:r>
        <w:rPr>
          <w:rFonts w:hint="eastAsia" w:ascii="仿宋" w:hAnsi="仿宋" w:eastAsia="仿宋"/>
          <w:color w:val="353535"/>
          <w:sz w:val="30"/>
          <w:szCs w:val="30"/>
        </w:rPr>
        <w:t>9、</w:t>
      </w:r>
      <w:r>
        <w:rPr>
          <w:rFonts w:ascii="仿宋" w:hAnsi="仿宋" w:eastAsia="仿宋"/>
          <w:color w:val="353535"/>
          <w:sz w:val="30"/>
          <w:szCs w:val="30"/>
        </w:rPr>
        <w:t>完成县委、县政府安排的中心工作任务和上级工会交办的其它工作任务。</w:t>
      </w:r>
    </w:p>
    <w:p w14:paraId="56A7D92B">
      <w:pPr>
        <w:ind w:firstLine="640"/>
        <w:rPr>
          <w:rFonts w:ascii="仿宋" w:hAnsi="仿宋" w:eastAsia="仿宋"/>
          <w:sz w:val="32"/>
          <w:szCs w:val="32"/>
        </w:rPr>
      </w:pPr>
      <w:r>
        <w:rPr>
          <w:rFonts w:hint="eastAsia" w:ascii="黑体" w:hAnsi="黑体" w:eastAsia="黑体"/>
          <w:sz w:val="32"/>
          <w:szCs w:val="32"/>
        </w:rPr>
        <w:t>二、2017年度部门工作完成情况</w:t>
      </w:r>
    </w:p>
    <w:p w14:paraId="5C723359">
      <w:pPr>
        <w:spacing w:line="580" w:lineRule="exact"/>
        <w:ind w:firstLine="640" w:firstLineChars="200"/>
        <w:rPr>
          <w:rFonts w:ascii="仿宋" w:hAnsi="仿宋" w:eastAsia="仿宋"/>
          <w:sz w:val="32"/>
          <w:szCs w:val="32"/>
        </w:rPr>
      </w:pPr>
      <w:r>
        <w:rPr>
          <w:rFonts w:hint="eastAsia" w:ascii="仿宋" w:hAnsi="仿宋" w:eastAsia="仿宋"/>
          <w:sz w:val="32"/>
          <w:szCs w:val="32"/>
        </w:rPr>
        <w:t>2017年，总工会紧紧围绕县委十八届二次全会及市总三届五次全会布置的重点工作和追赶超越暨五大攻坚战工作任务，聚力脱贫攻坚，扎实开展了工会的各项工作，现将工作情况总结如下：</w:t>
      </w:r>
    </w:p>
    <w:p w14:paraId="366667C3">
      <w:pPr>
        <w:spacing w:line="580" w:lineRule="exact"/>
        <w:ind w:firstLine="560" w:firstLineChars="200"/>
        <w:rPr>
          <w:rFonts w:ascii="黑体" w:hAnsi="黑体" w:eastAsia="黑体"/>
          <w:sz w:val="30"/>
          <w:szCs w:val="30"/>
        </w:rPr>
      </w:pPr>
      <w:r>
        <w:rPr>
          <w:rFonts w:hint="eastAsia" w:ascii="黑体" w:hAnsi="黑体" w:eastAsia="黑体"/>
          <w:sz w:val="28"/>
          <w:szCs w:val="28"/>
        </w:rPr>
        <w:t>1、全面履职，有序推进，充分发挥工会组织的职能作用。</w:t>
      </w:r>
    </w:p>
    <w:p w14:paraId="65A716F5">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一是深入学习宣传贯彻党的十八届六中全会、十九大精神和习近平新时代中国特色社会主义思想的新理论。</w:t>
      </w:r>
    </w:p>
    <w:p w14:paraId="5EDABDC8">
      <w:pPr>
        <w:spacing w:line="500" w:lineRule="exact"/>
        <w:ind w:firstLine="640" w:firstLineChars="200"/>
        <w:rPr>
          <w:rFonts w:ascii="仿宋" w:hAnsi="仿宋" w:eastAsia="仿宋" w:cs="仿宋"/>
          <w:sz w:val="32"/>
          <w:szCs w:val="32"/>
        </w:rPr>
      </w:pPr>
      <w:bookmarkStart w:id="0" w:name="_GoBack"/>
      <w:bookmarkEnd w:id="0"/>
      <w:r>
        <w:rPr>
          <w:rFonts w:hint="eastAsia" w:ascii="仿宋" w:hAnsi="仿宋" w:eastAsia="仿宋" w:cs="仿宋"/>
          <w:sz w:val="32"/>
          <w:szCs w:val="32"/>
        </w:rPr>
        <w:t>二是深入开展“劳模年”活动。</w:t>
      </w:r>
    </w:p>
    <w:p w14:paraId="71765BB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三是以“五送”为载体，不断提升精准帮扶工作水平，助力脱贫攻坚。</w:t>
      </w:r>
    </w:p>
    <w:p w14:paraId="5EB72445">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四是以强身健体为目的，组织开展积极健康的文体活动。    </w:t>
      </w:r>
    </w:p>
    <w:p w14:paraId="501A3041">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 xml:space="preserve">五是以“三项机制”为载体，全面提升工会干部队伍素质。    </w:t>
      </w:r>
    </w:p>
    <w:p w14:paraId="5ADCC041">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六是落实市总重点工作暨助力脱贫攻坚观摩推进会部署，推进基层工会阵地建设。</w:t>
      </w:r>
    </w:p>
    <w:p w14:paraId="083EBCEA">
      <w:pPr>
        <w:spacing w:line="560" w:lineRule="exact"/>
        <w:ind w:firstLine="560" w:firstLineChars="200"/>
        <w:rPr>
          <w:rFonts w:ascii="黑体" w:hAnsi="黑体" w:eastAsia="黑体"/>
          <w:sz w:val="28"/>
          <w:szCs w:val="28"/>
        </w:rPr>
      </w:pPr>
      <w:r>
        <w:rPr>
          <w:rFonts w:hint="eastAsia" w:ascii="黑体" w:hAnsi="黑体" w:eastAsia="黑体"/>
          <w:sz w:val="28"/>
          <w:szCs w:val="28"/>
        </w:rPr>
        <w:t>2、集中精力，攻坚克难，包村扶贫取得新的进展。</w:t>
      </w:r>
    </w:p>
    <w:p w14:paraId="79023D71">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一是高度重视、加强力量、形成合力。</w:t>
      </w:r>
    </w:p>
    <w:p w14:paraId="60EB44D9">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二是制定规划、完善制度、严格考核。</w:t>
      </w:r>
    </w:p>
    <w:p w14:paraId="3D37D29D">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三是入户调查、精准识别、数据清洗、完善档案。</w:t>
      </w:r>
    </w:p>
    <w:p w14:paraId="094A3027">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四是抓项目，促产业，垫实村域发展基础。</w:t>
      </w:r>
    </w:p>
    <w:p w14:paraId="51E1433A">
      <w:pPr>
        <w:spacing w:line="500" w:lineRule="exact"/>
        <w:ind w:firstLine="960" w:firstLineChars="300"/>
        <w:rPr>
          <w:rFonts w:ascii="仿宋" w:hAnsi="仿宋" w:eastAsia="仿宋" w:cs="仿宋"/>
          <w:sz w:val="32"/>
          <w:szCs w:val="32"/>
        </w:rPr>
      </w:pPr>
      <w:r>
        <w:rPr>
          <w:rFonts w:hint="eastAsia" w:ascii="仿宋" w:hAnsi="仿宋" w:eastAsia="仿宋" w:cs="仿宋"/>
          <w:sz w:val="32"/>
          <w:szCs w:val="32"/>
        </w:rPr>
        <w:t>五是确保如期完成脱贫攻坚年度脱贫计划。</w:t>
      </w:r>
      <w:r>
        <w:rPr>
          <w:rFonts w:hint="eastAsia" w:ascii="仿宋" w:hAnsi="仿宋" w:eastAsia="仿宋" w:cs="仿宋"/>
          <w:bCs/>
          <w:sz w:val="32"/>
          <w:szCs w:val="32"/>
        </w:rPr>
        <w:t>一年来总工会采取有效措施， 2017年双河村已有刘声康、刘声清和郑宝全等13户50人如期退出贫困户序列。</w:t>
      </w:r>
    </w:p>
    <w:p w14:paraId="429F9E3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2017年，县总工会有效完成了县委、县政府和市总工会各项工作任务，被市总工会授予“2016年度商洛市工会工作先进单位”荣誉称号，这些都充分体现了各级领导对工会工作的支持、肯定与期望。</w:t>
      </w:r>
    </w:p>
    <w:p w14:paraId="0C2C4B6D">
      <w:pPr>
        <w:ind w:firstLine="320" w:firstLineChars="100"/>
        <w:rPr>
          <w:rFonts w:ascii="仿宋_GB2312" w:hAnsi="宋体" w:eastAsia="仿宋_GB2312" w:cs="宋体"/>
          <w:b/>
          <w:bCs/>
          <w:color w:val="353535"/>
          <w:kern w:val="0"/>
          <w:sz w:val="32"/>
          <w:szCs w:val="32"/>
        </w:rPr>
      </w:pPr>
      <w:r>
        <w:rPr>
          <w:rFonts w:hint="eastAsia" w:ascii="黑体" w:hAnsi="黑体" w:eastAsia="黑体"/>
          <w:sz w:val="32"/>
          <w:szCs w:val="32"/>
        </w:rPr>
        <w:t>三、部门决算单位构成</w:t>
      </w:r>
    </w:p>
    <w:p w14:paraId="5291B89E">
      <w:pPr>
        <w:widowControl/>
        <w:spacing w:line="5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2017年镇安县总工会部门决算</w:t>
      </w:r>
      <w:r>
        <w:rPr>
          <w:rFonts w:hint="eastAsia" w:ascii="仿宋" w:hAnsi="仿宋" w:eastAsia="仿宋" w:cs="仿宋"/>
          <w:sz w:val="32"/>
          <w:szCs w:val="32"/>
        </w:rPr>
        <w:t>公开的</w:t>
      </w:r>
      <w:r>
        <w:rPr>
          <w:rFonts w:hint="eastAsia" w:ascii="仿宋" w:hAnsi="仿宋" w:eastAsia="仿宋" w:cs="仿宋"/>
          <w:color w:val="000000"/>
          <w:kern w:val="0"/>
          <w:sz w:val="32"/>
          <w:szCs w:val="32"/>
        </w:rPr>
        <w:t>单位构成为：</w:t>
      </w:r>
      <w:r>
        <w:rPr>
          <w:rFonts w:hint="eastAsia" w:ascii="仿宋" w:hAnsi="仿宋" w:eastAsia="仿宋" w:cs="仿宋"/>
          <w:color w:val="353535"/>
          <w:kern w:val="0"/>
          <w:sz w:val="32"/>
          <w:szCs w:val="32"/>
        </w:rPr>
        <w:t>镇安县总工会本级。</w:t>
      </w:r>
    </w:p>
    <w:p w14:paraId="6BFDAFEF">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即纳入本部门2017年部门决算公开范围的单位共有1个，包括：</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68D5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7C8D71F7">
            <w:pPr>
              <w:spacing w:line="44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tcPr>
          <w:p w14:paraId="5C1B1413">
            <w:pPr>
              <w:spacing w:line="44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14:paraId="6A8C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1E54BD2">
            <w:pPr>
              <w:spacing w:line="44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923" w:type="dxa"/>
          </w:tcPr>
          <w:p w14:paraId="0128FA8E">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镇安县总工会（本级）</w:t>
            </w:r>
          </w:p>
        </w:tc>
      </w:tr>
    </w:tbl>
    <w:p w14:paraId="3533AEA6">
      <w:pPr>
        <w:spacing w:line="440" w:lineRule="exact"/>
        <w:ind w:firstLine="640" w:firstLineChars="200"/>
        <w:rPr>
          <w:rFonts w:ascii="仿宋" w:hAnsi="仿宋" w:eastAsia="仿宋" w:cs="仿宋"/>
          <w:sz w:val="32"/>
          <w:szCs w:val="32"/>
        </w:rPr>
      </w:pPr>
    </w:p>
    <w:p w14:paraId="50452B3F">
      <w:pPr>
        <w:ind w:firstLine="640"/>
        <w:rPr>
          <w:rFonts w:ascii="黑体" w:hAnsi="黑体" w:eastAsia="黑体"/>
          <w:sz w:val="32"/>
          <w:szCs w:val="32"/>
        </w:rPr>
      </w:pPr>
      <w:r>
        <w:rPr>
          <w:rFonts w:hint="eastAsia" w:ascii="黑体" w:hAnsi="黑体" w:eastAsia="黑体"/>
          <w:sz w:val="32"/>
          <w:szCs w:val="32"/>
        </w:rPr>
        <w:t>四、部门人员情况说明</w:t>
      </w:r>
    </w:p>
    <w:p w14:paraId="47BAFAA0">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截止2017年底，本部门人员编制9人，其中行政编制9人、事业编制0人；实有人员9人，其中行政9人、事业0人。单位管理的离退休人员9人。</w:t>
      </w:r>
    </w:p>
    <w:p w14:paraId="026C8103">
      <w:pPr>
        <w:numPr>
          <w:ilvl w:val="0"/>
          <w:numId w:val="1"/>
        </w:numPr>
        <w:ind w:firstLine="640"/>
        <w:rPr>
          <w:rFonts w:ascii="黑体" w:hAnsi="黑体" w:eastAsia="黑体"/>
          <w:sz w:val="32"/>
          <w:szCs w:val="32"/>
        </w:rPr>
      </w:pPr>
      <w:r>
        <w:rPr>
          <w:rFonts w:hint="eastAsia" w:ascii="黑体" w:hAnsi="黑体" w:eastAsia="黑体"/>
          <w:sz w:val="32"/>
          <w:szCs w:val="32"/>
        </w:rPr>
        <w:t>部门决算收支情况说明</w:t>
      </w:r>
    </w:p>
    <w:p w14:paraId="72639A71">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（一）2017年度收入支出总体情况说明</w:t>
      </w:r>
    </w:p>
    <w:p w14:paraId="77A570C9">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1、2017年度收入总计428.05万元，支出总计428.05万元；较2016年收支总计517.32万元，减少了89.27万元；主要是2017年工会项目资金较2016年有所减少，如工会组织机构建设项目较上年都有所减少。</w:t>
      </w:r>
    </w:p>
    <w:p w14:paraId="436608DE">
      <w:pPr>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2、2017年</w:t>
      </w:r>
      <w:r>
        <w:rPr>
          <w:rFonts w:hint="eastAsia" w:ascii="仿宋" w:hAnsi="仿宋" w:eastAsia="仿宋" w:cs="仿宋"/>
          <w:color w:val="000000"/>
          <w:sz w:val="32"/>
          <w:szCs w:val="32"/>
        </w:rPr>
        <w:t>收入总计428.05万元</w:t>
      </w:r>
      <w:r>
        <w:rPr>
          <w:rFonts w:hint="eastAsia" w:ascii="仿宋" w:hAnsi="仿宋" w:eastAsia="仿宋" w:cs="仿宋"/>
          <w:sz w:val="32"/>
          <w:szCs w:val="32"/>
        </w:rPr>
        <w:t>（可采用图表进行辅助说明）</w:t>
      </w:r>
      <w:r>
        <w:rPr>
          <w:rFonts w:hint="eastAsia" w:ascii="仿宋" w:hAnsi="仿宋" w:eastAsia="仿宋" w:cs="仿宋"/>
          <w:color w:val="000000"/>
          <w:sz w:val="32"/>
          <w:szCs w:val="32"/>
        </w:rPr>
        <w:t>。包括：</w:t>
      </w:r>
    </w:p>
    <w:p w14:paraId="1191DC9A">
      <w:pPr>
        <w:numPr>
          <w:ilvl w:val="0"/>
          <w:numId w:val="2"/>
        </w:num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公共预算财政拨款收入410.74万元，为市级财政当年拨付的公共预算资金财政拨款。</w:t>
      </w:r>
    </w:p>
    <w:p w14:paraId="14DA4111">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（2）政府性基金预算财政拨款0.00万元。</w:t>
      </w:r>
    </w:p>
    <w:p w14:paraId="03E3EA8F">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（3）上年结转和结余17.31万元，为以前年度尚未列支，结转到本年仍按原规定用途继续使用的资金。</w:t>
      </w:r>
    </w:p>
    <w:p w14:paraId="03936065">
      <w:pPr>
        <w:spacing w:line="500" w:lineRule="exact"/>
        <w:ind w:firstLine="640" w:firstLineChars="200"/>
        <w:jc w:val="left"/>
        <w:rPr>
          <w:rFonts w:ascii="仿宋" w:hAnsi="仿宋" w:eastAsia="仿宋" w:cs="仿宋"/>
          <w:sz w:val="32"/>
          <w:szCs w:val="32"/>
        </w:rPr>
      </w:pPr>
    </w:p>
    <w:p w14:paraId="6EC02A8D">
      <w:pPr>
        <w:spacing w:line="500" w:lineRule="exact"/>
        <w:ind w:firstLine="640" w:firstLineChars="200"/>
        <w:rPr>
          <w:rFonts w:ascii="仿宋" w:hAnsi="仿宋" w:eastAsia="仿宋" w:cs="仿宋"/>
          <w:sz w:val="32"/>
          <w:szCs w:val="32"/>
        </w:rPr>
      </w:pPr>
    </w:p>
    <w:p w14:paraId="6C9C5567">
      <w:pPr>
        <w:spacing w:line="360" w:lineRule="auto"/>
        <w:ind w:firstLine="472" w:firstLineChars="225"/>
        <w:rPr>
          <w:rFonts w:ascii="宋体" w:hAnsi="宋体" w:cs="宋体"/>
          <w:sz w:val="32"/>
          <w:szCs w:val="32"/>
        </w:rPr>
      </w:pPr>
      <w:r>
        <w:drawing>
          <wp:inline distT="0" distB="0" distL="114300" distR="114300">
            <wp:extent cx="4953635" cy="2743200"/>
            <wp:effectExtent l="0" t="0" r="1841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4953635" cy="2743200"/>
                    </a:xfrm>
                    <a:prstGeom prst="rect">
                      <a:avLst/>
                    </a:prstGeom>
                    <a:noFill/>
                    <a:ln w="9525">
                      <a:noFill/>
                    </a:ln>
                  </pic:spPr>
                </pic:pic>
              </a:graphicData>
            </a:graphic>
          </wp:inline>
        </w:drawing>
      </w:r>
    </w:p>
    <w:p w14:paraId="4F632D1F">
      <w:pPr>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3、本年支出总计</w:t>
      </w:r>
      <w:r>
        <w:rPr>
          <w:rFonts w:hint="eastAsia" w:ascii="仿宋" w:hAnsi="仿宋" w:eastAsia="仿宋" w:cs="仿宋"/>
          <w:color w:val="000000"/>
          <w:sz w:val="32"/>
          <w:szCs w:val="32"/>
        </w:rPr>
        <w:t>428.05万元</w:t>
      </w:r>
      <w:r>
        <w:rPr>
          <w:rFonts w:hint="eastAsia" w:ascii="仿宋" w:hAnsi="仿宋" w:eastAsia="仿宋" w:cs="仿宋"/>
          <w:sz w:val="32"/>
          <w:szCs w:val="32"/>
        </w:rPr>
        <w:t>（可采用图表进行辅助说明）</w:t>
      </w:r>
      <w:r>
        <w:rPr>
          <w:rFonts w:hint="eastAsia" w:ascii="仿宋" w:hAnsi="仿宋" w:eastAsia="仿宋" w:cs="仿宋"/>
          <w:color w:val="000000"/>
          <w:sz w:val="32"/>
          <w:szCs w:val="32"/>
        </w:rPr>
        <w:t>。包括：</w:t>
      </w:r>
    </w:p>
    <w:p w14:paraId="3CEE3015">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（1）基本支出123.85万元，主要是为保障工会部门机构正常运转、完成日常工作任务而发生的各项支出。其中：工资福利支出71.83万元，对个人和家庭的补助支出27.68万元，商品和服务支出24.34万元。</w:t>
      </w:r>
    </w:p>
    <w:p w14:paraId="7DDF2930">
      <w:pPr>
        <w:spacing w:line="500" w:lineRule="exact"/>
        <w:ind w:firstLine="420" w:firstLineChars="200"/>
      </w:pPr>
    </w:p>
    <w:p w14:paraId="2B9C586D">
      <w:pPr>
        <w:spacing w:line="500" w:lineRule="exact"/>
        <w:ind w:firstLine="420" w:firstLineChars="200"/>
      </w:pPr>
    </w:p>
    <w:p w14:paraId="1B8B0702">
      <w:pPr>
        <w:spacing w:line="500" w:lineRule="exact"/>
        <w:ind w:firstLine="420" w:firstLineChars="200"/>
      </w:pPr>
      <w:r>
        <w:drawing>
          <wp:anchor distT="0" distB="0" distL="114935" distR="114935" simplePos="0" relativeHeight="251662336" behindDoc="0" locked="0" layoutInCell="1" allowOverlap="1">
            <wp:simplePos x="0" y="0"/>
            <wp:positionH relativeFrom="column">
              <wp:posOffset>50800</wp:posOffset>
            </wp:positionH>
            <wp:positionV relativeFrom="paragraph">
              <wp:posOffset>26670</wp:posOffset>
            </wp:positionV>
            <wp:extent cx="5274310" cy="3068955"/>
            <wp:effectExtent l="0" t="0" r="2540" b="17145"/>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5274310" cy="3068955"/>
                    </a:xfrm>
                    <a:prstGeom prst="rect">
                      <a:avLst/>
                    </a:prstGeom>
                    <a:noFill/>
                    <a:ln w="9525">
                      <a:noFill/>
                    </a:ln>
                  </pic:spPr>
                </pic:pic>
              </a:graphicData>
            </a:graphic>
          </wp:anchor>
        </w:drawing>
      </w:r>
    </w:p>
    <w:p w14:paraId="552A1300">
      <w:pPr>
        <w:numPr>
          <w:ilvl w:val="0"/>
          <w:numId w:val="2"/>
        </w:num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项目支出300万元，主要是为完成特定工作任务或事业发展目标，在基本支出之外发生的支出，指工会事务等工作经费300万元。</w:t>
      </w:r>
    </w:p>
    <w:p w14:paraId="664CC66C">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（3）年末结转和结余4.20万元，主要是本年度及以前年度预算安排、因客观条件发生变化无法按原计划实施，需延迟到以后年度按原规定用途继续使用的资金。</w:t>
      </w:r>
    </w:p>
    <w:p w14:paraId="50319D3F">
      <w:pPr>
        <w:spacing w:line="500" w:lineRule="exact"/>
        <w:ind w:firstLine="640" w:firstLineChars="200"/>
        <w:rPr>
          <w:rFonts w:ascii="仿宋" w:hAnsi="仿宋" w:eastAsia="仿宋" w:cs="仿宋"/>
          <w:color w:val="000000"/>
          <w:sz w:val="32"/>
          <w:szCs w:val="32"/>
        </w:rPr>
      </w:pPr>
    </w:p>
    <w:p w14:paraId="78E13C65">
      <w:pPr>
        <w:spacing w:line="500" w:lineRule="exact"/>
        <w:ind w:firstLine="640" w:firstLineChars="200"/>
        <w:rPr>
          <w:rFonts w:ascii="仿宋" w:hAnsi="仿宋" w:eastAsia="仿宋" w:cs="仿宋"/>
          <w:color w:val="000000"/>
          <w:sz w:val="32"/>
          <w:szCs w:val="32"/>
        </w:rPr>
      </w:pPr>
    </w:p>
    <w:p w14:paraId="02F354B5">
      <w:pPr>
        <w:spacing w:line="500" w:lineRule="exact"/>
        <w:ind w:firstLine="420" w:firstLineChars="200"/>
        <w:rPr>
          <w:rFonts w:ascii="仿宋_GB2312" w:hAnsi="仿宋_GB2312" w:eastAsia="仿宋_GB2312" w:cs="仿宋_GB2312"/>
          <w:color w:val="000000"/>
          <w:sz w:val="32"/>
          <w:szCs w:val="32"/>
        </w:rPr>
      </w:pPr>
      <w:r>
        <w:drawing>
          <wp:anchor distT="0" distB="0" distL="114300" distR="114300" simplePos="0" relativeHeight="251663360" behindDoc="0" locked="0" layoutInCell="1" allowOverlap="1">
            <wp:simplePos x="0" y="0"/>
            <wp:positionH relativeFrom="column">
              <wp:posOffset>31750</wp:posOffset>
            </wp:positionH>
            <wp:positionV relativeFrom="paragraph">
              <wp:posOffset>121920</wp:posOffset>
            </wp:positionV>
            <wp:extent cx="5273040" cy="3531235"/>
            <wp:effectExtent l="0" t="0" r="3810" b="12065"/>
            <wp:wrapSquare wrapText="bothSides"/>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8"/>
                    <a:stretch>
                      <a:fillRect/>
                    </a:stretch>
                  </pic:blipFill>
                  <pic:spPr>
                    <a:xfrm>
                      <a:off x="0" y="0"/>
                      <a:ext cx="5273040" cy="3531235"/>
                    </a:xfrm>
                    <a:prstGeom prst="rect">
                      <a:avLst/>
                    </a:prstGeom>
                    <a:noFill/>
                    <a:ln w="9525">
                      <a:noFill/>
                    </a:ln>
                    <a:effectLst>
                      <a:outerShdw blurRad="50800" dist="50800" dir="5400000" algn="ctr" rotWithShape="0">
                        <a:schemeClr val="accent6">
                          <a:lumMod val="50000"/>
                          <a:alpha val="100000"/>
                        </a:schemeClr>
                      </a:outerShdw>
                    </a:effectLst>
                  </pic:spPr>
                </pic:pic>
              </a:graphicData>
            </a:graphic>
          </wp:anchor>
        </w:drawing>
      </w:r>
    </w:p>
    <w:p w14:paraId="789B8FEA">
      <w:pPr>
        <w:spacing w:line="500" w:lineRule="exact"/>
        <w:ind w:firstLine="640" w:firstLineChars="200"/>
        <w:rPr>
          <w:rFonts w:ascii="宋体" w:hAnsi="宋体" w:cs="宋体"/>
          <w:sz w:val="32"/>
          <w:szCs w:val="32"/>
        </w:rPr>
      </w:pPr>
      <w:r>
        <w:rPr>
          <w:rFonts w:hint="eastAsia" w:ascii="宋体" w:hAnsi="宋体" w:cs="宋体"/>
          <w:sz w:val="32"/>
          <w:szCs w:val="32"/>
        </w:rPr>
        <w:t>（二）2017年度财政拨款收入支出总体情况说明</w:t>
      </w:r>
    </w:p>
    <w:p w14:paraId="2B27F142">
      <w:pPr>
        <w:spacing w:line="500" w:lineRule="exact"/>
        <w:ind w:firstLine="640" w:firstLineChars="200"/>
        <w:rPr>
          <w:rFonts w:ascii="宋体" w:hAnsi="宋体" w:cs="宋体"/>
          <w:sz w:val="32"/>
          <w:szCs w:val="32"/>
        </w:rPr>
      </w:pPr>
      <w:r>
        <w:rPr>
          <w:rFonts w:hint="eastAsia" w:ascii="宋体" w:hAnsi="宋体" w:cs="宋体"/>
          <w:sz w:val="32"/>
          <w:szCs w:val="32"/>
        </w:rPr>
        <w:t xml:space="preserve">1、2017年度财政拨款收入总计428.05万元，财政拨款支出总计428.05万元；较2016年财政收支总计517.32万元，减少了89.27万元；主要是2017年工会项目资金较2016年有所减少，如工会组织机构建设项目较上年都有所减少。                       </w:t>
      </w:r>
    </w:p>
    <w:p w14:paraId="4C8EAB65">
      <w:pPr>
        <w:spacing w:line="500" w:lineRule="exact"/>
        <w:ind w:firstLine="640" w:firstLineChars="200"/>
        <w:rPr>
          <w:rFonts w:ascii="宋体" w:hAnsi="宋体" w:cs="宋体"/>
          <w:sz w:val="32"/>
          <w:szCs w:val="32"/>
        </w:rPr>
      </w:pPr>
      <w:r>
        <w:rPr>
          <w:rFonts w:hint="eastAsia" w:ascii="宋体" w:hAnsi="宋体" w:cs="宋体"/>
          <w:sz w:val="32"/>
          <w:szCs w:val="32"/>
        </w:rPr>
        <w:t>2、2017年一般公共预算财政拨款支出合计423.85万元。按政府功能分类科目列项，支出具体内容如下：</w:t>
      </w:r>
    </w:p>
    <w:p w14:paraId="1C0BFEB1">
      <w:pPr>
        <w:spacing w:line="440" w:lineRule="exact"/>
        <w:ind w:firstLine="640" w:firstLineChars="200"/>
        <w:rPr>
          <w:rFonts w:ascii="仿宋_GB2312" w:hAnsi="仿宋_GB2312" w:eastAsia="仿宋_GB2312" w:cs="仿宋_GB2312"/>
          <w:sz w:val="32"/>
          <w:szCs w:val="32"/>
        </w:rPr>
      </w:pPr>
    </w:p>
    <w:tbl>
      <w:tblPr>
        <w:tblStyle w:val="6"/>
        <w:tblW w:w="8953"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343"/>
        <w:gridCol w:w="4114"/>
        <w:gridCol w:w="1130"/>
        <w:gridCol w:w="1085"/>
        <w:gridCol w:w="1281"/>
      </w:tblGrid>
      <w:tr w14:paraId="4DD2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8953" w:type="dxa"/>
            <w:gridSpan w:val="5"/>
            <w:vAlign w:val="center"/>
          </w:tcPr>
          <w:p w14:paraId="08C87ACB">
            <w:pPr>
              <w:widowControl/>
              <w:spacing w:line="300" w:lineRule="atLeast"/>
              <w:ind w:left="120"/>
              <w:jc w:val="center"/>
              <w:rPr>
                <w:rFonts w:ascii="宋体" w:cs="宋体"/>
                <w:color w:val="000000"/>
                <w:kern w:val="0"/>
                <w:sz w:val="18"/>
                <w:szCs w:val="18"/>
              </w:rPr>
            </w:pPr>
            <w:r>
              <w:rPr>
                <w:rFonts w:hint="eastAsia" w:ascii="宋体" w:cs="宋体"/>
                <w:b/>
                <w:bCs/>
                <w:color w:val="000000"/>
                <w:kern w:val="0"/>
                <w:sz w:val="18"/>
              </w:rPr>
              <w:t>（二）公共预算财政拨款支出决算表</w:t>
            </w:r>
          </w:p>
        </w:tc>
      </w:tr>
      <w:tr w14:paraId="68EC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63" w:hRule="atLeast"/>
          <w:tblCellSpacing w:w="0" w:type="dxa"/>
        </w:trPr>
        <w:tc>
          <w:tcPr>
            <w:tcW w:w="8953" w:type="dxa"/>
            <w:gridSpan w:val="5"/>
            <w:vAlign w:val="center"/>
          </w:tcPr>
          <w:p w14:paraId="14E6FBA3">
            <w:pPr>
              <w:widowControl/>
              <w:spacing w:line="200" w:lineRule="exact"/>
              <w:ind w:left="119"/>
              <w:jc w:val="right"/>
              <w:rPr>
                <w:rFonts w:ascii="宋体" w:cs="宋体"/>
                <w:color w:val="000000"/>
                <w:kern w:val="0"/>
                <w:sz w:val="18"/>
                <w:szCs w:val="18"/>
              </w:rPr>
            </w:pPr>
            <w:r>
              <w:rPr>
                <w:rFonts w:hint="eastAsia" w:ascii="宋体" w:cs="宋体"/>
                <w:color w:val="000000"/>
                <w:kern w:val="0"/>
                <w:sz w:val="18"/>
                <w:szCs w:val="18"/>
              </w:rPr>
              <w:t xml:space="preserve">单位：万元 </w:t>
            </w:r>
          </w:p>
        </w:tc>
      </w:tr>
      <w:tr w14:paraId="081E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5457" w:type="dxa"/>
            <w:gridSpan w:val="2"/>
            <w:vAlign w:val="center"/>
          </w:tcPr>
          <w:p w14:paraId="13318BE9">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支出功能分类 </w:t>
            </w:r>
          </w:p>
        </w:tc>
        <w:tc>
          <w:tcPr>
            <w:tcW w:w="1130" w:type="dxa"/>
            <w:vMerge w:val="restart"/>
            <w:vAlign w:val="center"/>
          </w:tcPr>
          <w:p w14:paraId="2383D689">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合计 </w:t>
            </w:r>
          </w:p>
        </w:tc>
        <w:tc>
          <w:tcPr>
            <w:tcW w:w="1085" w:type="dxa"/>
            <w:vMerge w:val="restart"/>
            <w:vAlign w:val="center"/>
          </w:tcPr>
          <w:p w14:paraId="06377D8A">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基本支出 </w:t>
            </w:r>
          </w:p>
        </w:tc>
        <w:tc>
          <w:tcPr>
            <w:tcW w:w="1281" w:type="dxa"/>
            <w:vMerge w:val="restart"/>
            <w:vAlign w:val="center"/>
          </w:tcPr>
          <w:p w14:paraId="616D81D1">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项目支出 </w:t>
            </w:r>
          </w:p>
        </w:tc>
      </w:tr>
      <w:tr w14:paraId="26BC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1343" w:type="dxa"/>
            <w:vAlign w:val="center"/>
          </w:tcPr>
          <w:p w14:paraId="25FC24AC">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科目编码 </w:t>
            </w:r>
          </w:p>
        </w:tc>
        <w:tc>
          <w:tcPr>
            <w:tcW w:w="4114" w:type="dxa"/>
            <w:vAlign w:val="center"/>
          </w:tcPr>
          <w:p w14:paraId="1C074192">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科目名称 </w:t>
            </w:r>
          </w:p>
        </w:tc>
        <w:tc>
          <w:tcPr>
            <w:tcW w:w="1130" w:type="dxa"/>
            <w:vMerge w:val="continue"/>
            <w:vAlign w:val="center"/>
          </w:tcPr>
          <w:p w14:paraId="25D8F189">
            <w:pPr>
              <w:rPr>
                <w:color w:val="000000"/>
              </w:rPr>
            </w:pPr>
          </w:p>
        </w:tc>
        <w:tc>
          <w:tcPr>
            <w:tcW w:w="1085" w:type="dxa"/>
            <w:vMerge w:val="continue"/>
            <w:vAlign w:val="center"/>
          </w:tcPr>
          <w:p w14:paraId="4AF3C029">
            <w:pPr>
              <w:rPr>
                <w:color w:val="000000"/>
              </w:rPr>
            </w:pPr>
          </w:p>
        </w:tc>
        <w:tc>
          <w:tcPr>
            <w:tcW w:w="1281" w:type="dxa"/>
            <w:vMerge w:val="continue"/>
            <w:vAlign w:val="center"/>
          </w:tcPr>
          <w:p w14:paraId="24DB741B">
            <w:pPr>
              <w:rPr>
                <w:color w:val="000000"/>
              </w:rPr>
            </w:pPr>
          </w:p>
        </w:tc>
      </w:tr>
      <w:tr w14:paraId="150F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5457" w:type="dxa"/>
            <w:gridSpan w:val="2"/>
            <w:vAlign w:val="center"/>
          </w:tcPr>
          <w:p w14:paraId="270966BA">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合 计 </w:t>
            </w:r>
          </w:p>
        </w:tc>
        <w:tc>
          <w:tcPr>
            <w:tcW w:w="1130" w:type="dxa"/>
            <w:vAlign w:val="center"/>
          </w:tcPr>
          <w:p w14:paraId="20D046B6">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423.85</w:t>
            </w:r>
          </w:p>
        </w:tc>
        <w:tc>
          <w:tcPr>
            <w:tcW w:w="1085" w:type="dxa"/>
            <w:vAlign w:val="center"/>
          </w:tcPr>
          <w:p w14:paraId="431C559A">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123.85</w:t>
            </w:r>
          </w:p>
        </w:tc>
        <w:tc>
          <w:tcPr>
            <w:tcW w:w="1281" w:type="dxa"/>
            <w:vAlign w:val="center"/>
          </w:tcPr>
          <w:p w14:paraId="1325D426">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300.00</w:t>
            </w:r>
          </w:p>
        </w:tc>
      </w:tr>
      <w:tr w14:paraId="1C94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1343" w:type="dxa"/>
            <w:vAlign w:val="center"/>
          </w:tcPr>
          <w:p w14:paraId="4BA64C38">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201</w:t>
            </w:r>
          </w:p>
        </w:tc>
        <w:tc>
          <w:tcPr>
            <w:tcW w:w="4114" w:type="dxa"/>
            <w:vAlign w:val="center"/>
          </w:tcPr>
          <w:p w14:paraId="6A43E314">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 xml:space="preserve">一般公共服务支出 </w:t>
            </w:r>
          </w:p>
        </w:tc>
        <w:tc>
          <w:tcPr>
            <w:tcW w:w="1130" w:type="dxa"/>
            <w:vAlign w:val="center"/>
          </w:tcPr>
          <w:p w14:paraId="6A98A1F3">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 xml:space="preserve">423.85　 </w:t>
            </w:r>
          </w:p>
        </w:tc>
        <w:tc>
          <w:tcPr>
            <w:tcW w:w="1085" w:type="dxa"/>
            <w:vAlign w:val="center"/>
          </w:tcPr>
          <w:p w14:paraId="71036B29">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 xml:space="preserve">123.85    </w:t>
            </w:r>
          </w:p>
        </w:tc>
        <w:tc>
          <w:tcPr>
            <w:tcW w:w="1281" w:type="dxa"/>
            <w:vAlign w:val="center"/>
          </w:tcPr>
          <w:p w14:paraId="16654CCD">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 xml:space="preserve">　 </w:t>
            </w:r>
          </w:p>
        </w:tc>
      </w:tr>
      <w:tr w14:paraId="7B48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1343" w:type="dxa"/>
            <w:vAlign w:val="center"/>
          </w:tcPr>
          <w:p w14:paraId="1E68E5E5">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20129</w:t>
            </w:r>
            <w:r>
              <w:rPr>
                <w:rFonts w:hint="eastAsia" w:ascii="宋体" w:cs="宋体"/>
                <w:color w:val="000000"/>
                <w:kern w:val="0"/>
                <w:sz w:val="18"/>
                <w:szCs w:val="18"/>
              </w:rPr>
              <w:tab/>
            </w:r>
            <w:r>
              <w:rPr>
                <w:rFonts w:hint="eastAsia" w:ascii="宋体" w:cs="宋体"/>
                <w:color w:val="000000"/>
                <w:kern w:val="0"/>
                <w:sz w:val="18"/>
                <w:szCs w:val="18"/>
              </w:rPr>
              <w:tab/>
            </w:r>
          </w:p>
        </w:tc>
        <w:tc>
          <w:tcPr>
            <w:tcW w:w="4114" w:type="dxa"/>
            <w:vAlign w:val="center"/>
          </w:tcPr>
          <w:p w14:paraId="2E34283C">
            <w:pPr>
              <w:widowControl/>
              <w:spacing w:line="300" w:lineRule="atLeast"/>
              <w:ind w:left="120" w:firstLine="630" w:firstLineChars="350"/>
              <w:jc w:val="left"/>
              <w:rPr>
                <w:rFonts w:ascii="宋体" w:cs="宋体"/>
                <w:color w:val="000000"/>
                <w:kern w:val="0"/>
                <w:sz w:val="18"/>
                <w:szCs w:val="18"/>
              </w:rPr>
            </w:pPr>
            <w:r>
              <w:rPr>
                <w:rFonts w:hint="eastAsia" w:ascii="宋体" w:cs="宋体"/>
                <w:color w:val="000000"/>
                <w:kern w:val="0"/>
                <w:sz w:val="18"/>
                <w:szCs w:val="18"/>
              </w:rPr>
              <w:t xml:space="preserve">  行政运行 </w:t>
            </w:r>
          </w:p>
        </w:tc>
        <w:tc>
          <w:tcPr>
            <w:tcW w:w="1130" w:type="dxa"/>
            <w:vAlign w:val="center"/>
          </w:tcPr>
          <w:p w14:paraId="48932961">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106.54</w:t>
            </w:r>
          </w:p>
        </w:tc>
        <w:tc>
          <w:tcPr>
            <w:tcW w:w="1085" w:type="dxa"/>
            <w:vAlign w:val="center"/>
          </w:tcPr>
          <w:p w14:paraId="1C18A33D">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 xml:space="preserve">106.54  </w:t>
            </w:r>
          </w:p>
        </w:tc>
        <w:tc>
          <w:tcPr>
            <w:tcW w:w="1281" w:type="dxa"/>
            <w:vAlign w:val="center"/>
          </w:tcPr>
          <w:p w14:paraId="4FA9C988">
            <w:pPr>
              <w:widowControl/>
              <w:spacing w:line="300" w:lineRule="atLeast"/>
              <w:ind w:left="120"/>
              <w:jc w:val="center"/>
              <w:rPr>
                <w:rFonts w:ascii="宋体" w:cs="宋体"/>
                <w:color w:val="000000"/>
                <w:kern w:val="0"/>
                <w:sz w:val="18"/>
                <w:szCs w:val="18"/>
              </w:rPr>
            </w:pPr>
            <w:r>
              <w:rPr>
                <w:rFonts w:hint="eastAsia" w:ascii="宋体" w:cs="宋体"/>
                <w:color w:val="000000"/>
                <w:kern w:val="0"/>
                <w:sz w:val="18"/>
                <w:szCs w:val="18"/>
              </w:rPr>
              <w:t xml:space="preserve"> </w:t>
            </w:r>
          </w:p>
        </w:tc>
      </w:tr>
      <w:tr w14:paraId="4700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75" w:hRule="atLeast"/>
          <w:tblCellSpacing w:w="0" w:type="dxa"/>
        </w:trPr>
        <w:tc>
          <w:tcPr>
            <w:tcW w:w="1343" w:type="dxa"/>
            <w:vAlign w:val="center"/>
          </w:tcPr>
          <w:p w14:paraId="706519AF">
            <w:pPr>
              <w:widowControl/>
              <w:spacing w:line="300" w:lineRule="atLeast"/>
              <w:ind w:left="120"/>
              <w:jc w:val="left"/>
              <w:rPr>
                <w:rFonts w:ascii="宋体" w:cs="宋体"/>
                <w:color w:val="000000"/>
                <w:kern w:val="0"/>
                <w:sz w:val="18"/>
                <w:szCs w:val="18"/>
              </w:rPr>
            </w:pPr>
            <w:r>
              <w:rPr>
                <w:rFonts w:hint="eastAsia" w:ascii="宋体" w:cs="宋体"/>
                <w:color w:val="000000"/>
                <w:kern w:val="0"/>
                <w:sz w:val="18"/>
                <w:szCs w:val="18"/>
              </w:rPr>
              <w:t>2012999</w:t>
            </w:r>
          </w:p>
        </w:tc>
        <w:tc>
          <w:tcPr>
            <w:tcW w:w="4114" w:type="dxa"/>
            <w:vAlign w:val="center"/>
          </w:tcPr>
          <w:p w14:paraId="1DD56B47">
            <w:pPr>
              <w:widowControl/>
              <w:spacing w:line="300" w:lineRule="atLeast"/>
              <w:ind w:firstLine="900" w:firstLineChars="500"/>
              <w:rPr>
                <w:rFonts w:ascii="宋体" w:cs="宋体"/>
                <w:color w:val="000000"/>
                <w:kern w:val="0"/>
                <w:sz w:val="18"/>
                <w:szCs w:val="18"/>
              </w:rPr>
            </w:pPr>
            <w:r>
              <w:rPr>
                <w:rFonts w:hint="eastAsia" w:ascii="宋体" w:cs="宋体"/>
                <w:color w:val="000000"/>
                <w:kern w:val="0"/>
                <w:sz w:val="18"/>
                <w:szCs w:val="18"/>
              </w:rPr>
              <w:t>其他群众团体事务支出</w:t>
            </w:r>
          </w:p>
        </w:tc>
        <w:tc>
          <w:tcPr>
            <w:tcW w:w="1130" w:type="dxa"/>
            <w:vAlign w:val="center"/>
          </w:tcPr>
          <w:p w14:paraId="5F67225C">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 xml:space="preserve">317.31 </w:t>
            </w:r>
          </w:p>
        </w:tc>
        <w:tc>
          <w:tcPr>
            <w:tcW w:w="1085" w:type="dxa"/>
            <w:vAlign w:val="center"/>
          </w:tcPr>
          <w:p w14:paraId="72DCACD0">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 xml:space="preserve">17.31   </w:t>
            </w:r>
          </w:p>
        </w:tc>
        <w:tc>
          <w:tcPr>
            <w:tcW w:w="1281" w:type="dxa"/>
            <w:vAlign w:val="center"/>
          </w:tcPr>
          <w:p w14:paraId="4BC868B5">
            <w:pPr>
              <w:widowControl/>
              <w:spacing w:line="300" w:lineRule="atLeast"/>
              <w:ind w:left="120"/>
              <w:jc w:val="right"/>
              <w:rPr>
                <w:rFonts w:ascii="宋体" w:cs="宋体"/>
                <w:color w:val="000000"/>
                <w:kern w:val="0"/>
                <w:sz w:val="18"/>
                <w:szCs w:val="18"/>
              </w:rPr>
            </w:pPr>
            <w:r>
              <w:rPr>
                <w:rFonts w:hint="eastAsia" w:ascii="宋体" w:cs="宋体"/>
                <w:color w:val="000000"/>
                <w:kern w:val="0"/>
                <w:sz w:val="18"/>
                <w:szCs w:val="18"/>
              </w:rPr>
              <w:t>300.00</w:t>
            </w:r>
          </w:p>
        </w:tc>
      </w:tr>
    </w:tbl>
    <w:p w14:paraId="6C5B8355">
      <w:pPr>
        <w:rPr>
          <w:rFonts w:ascii="宋体" w:hAnsi="宋体"/>
          <w:color w:val="000000"/>
          <w:szCs w:val="21"/>
        </w:rPr>
      </w:pPr>
    </w:p>
    <w:p w14:paraId="059CEF73">
      <w:pPr>
        <w:spacing w:line="5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3、一般公共预算财政拨款基本支出</w:t>
      </w:r>
      <w:r>
        <w:rPr>
          <w:rFonts w:hint="eastAsia" w:ascii="仿宋" w:hAnsi="仿宋" w:eastAsia="仿宋" w:cs="仿宋"/>
          <w:color w:val="000000"/>
          <w:sz w:val="32"/>
          <w:szCs w:val="32"/>
        </w:rPr>
        <w:t>123.85万元。其中：人员经费99.51万元，含工资福利支出71.83万元、对个人和家庭的补助支出27.68万元；公用经费24.34万元，指商品和服务支出。</w:t>
      </w:r>
    </w:p>
    <w:p w14:paraId="5FB893BC">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4、政府性基金财政拨款收支情况说明</w:t>
      </w:r>
    </w:p>
    <w:p w14:paraId="7755BACE">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本年度政府性基金财政拨款收支总计0.00万元。</w:t>
      </w:r>
    </w:p>
    <w:p w14:paraId="50961FAD">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（三）2017年度“三公”经费、培训费及会议费支出情况说明</w:t>
      </w:r>
    </w:p>
    <w:p w14:paraId="54EC8033">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1、“三公”经费财政拨款支出总体情况说明。</w:t>
      </w:r>
    </w:p>
    <w:p w14:paraId="538EC215">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2017年度一般公共预算财政拨款安排的“三公</w:t>
      </w:r>
      <w:r>
        <w:rPr>
          <w:rFonts w:hint="default" w:ascii="仿宋" w:hAnsi="仿宋" w:eastAsia="仿宋" w:cs="仿宋"/>
          <w:sz w:val="32"/>
          <w:szCs w:val="32"/>
          <w:lang w:val="en-US" w:eastAsia="zh-CN"/>
        </w:rPr>
        <w:t>”</w:t>
      </w:r>
      <w:r>
        <w:rPr>
          <w:rFonts w:hint="eastAsia" w:ascii="仿宋" w:hAnsi="仿宋" w:eastAsia="仿宋" w:cs="仿宋"/>
          <w:sz w:val="32"/>
          <w:szCs w:val="32"/>
        </w:rPr>
        <w:t>经费支出总计0.56万元；其中：公务接待费0.56万元，公务用车运行维护费0.00万元，比上年0.85万元减少了0.29万元。公务接待费较上年有所减少。</w:t>
      </w:r>
    </w:p>
    <w:p w14:paraId="346AFF4C">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2017年无因公出国（境）团组事项。2017年本部门公务接待费0.56万元，日常工作共接待22次、176人。2017年公务用车保有0辆。</w:t>
      </w:r>
    </w:p>
    <w:p w14:paraId="4B874FBE">
      <w:pPr>
        <w:numPr>
          <w:ilvl w:val="0"/>
          <w:numId w:val="3"/>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培训费支出决算1.20万元。与上年基本相同。</w:t>
      </w:r>
    </w:p>
    <w:p w14:paraId="27A20861">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3、会议费支出决算0.60万元，为省市级在我县召开的工会工作会议费用。会议费与上年基本相同。</w:t>
      </w:r>
    </w:p>
    <w:p w14:paraId="45E3DF83">
      <w:pPr>
        <w:ind w:firstLine="640" w:firstLineChars="200"/>
        <w:rPr>
          <w:rFonts w:ascii="黑体" w:hAnsi="黑体" w:eastAsia="黑体"/>
          <w:b/>
          <w:bCs/>
          <w:sz w:val="32"/>
          <w:szCs w:val="32"/>
        </w:rPr>
      </w:pPr>
      <w:r>
        <w:rPr>
          <w:rFonts w:hint="eastAsia" w:ascii="黑体" w:hAnsi="黑体" w:eastAsia="黑体"/>
          <w:sz w:val="32"/>
          <w:szCs w:val="32"/>
        </w:rPr>
        <w:t>六、2017年部门绩效管理情况说明</w:t>
      </w:r>
    </w:p>
    <w:p w14:paraId="32EEE03D">
      <w:pPr>
        <w:spacing w:line="5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1、开展了绩效管理的部门（单位）：</w:t>
      </w:r>
      <w:r>
        <w:rPr>
          <w:rFonts w:hint="eastAsia" w:ascii="仿宋_GB2312" w:hAnsi="仿宋_GB2312" w:eastAsia="仿宋_GB2312" w:cs="仿宋_GB2312"/>
          <w:bCs/>
          <w:sz w:val="32"/>
          <w:szCs w:val="32"/>
        </w:rPr>
        <w:t>镇安县总工会部门，</w:t>
      </w:r>
      <w:r>
        <w:rPr>
          <w:rFonts w:hint="eastAsia" w:ascii="仿宋_GB2312" w:hAnsi="仿宋_GB2312" w:eastAsia="仿宋_GB2312" w:cs="仿宋_GB2312"/>
          <w:sz w:val="32"/>
          <w:szCs w:val="32"/>
        </w:rPr>
        <w:t xml:space="preserve"> 2017年本部门对专项业务经费项目开展了绩效自评，涉及一般公共预算当年拨款300.00万元。</w:t>
      </w:r>
    </w:p>
    <w:p w14:paraId="3B7DFA01">
      <w:pPr>
        <w:spacing w:line="500" w:lineRule="exact"/>
        <w:ind w:firstLine="643" w:firstLineChars="200"/>
        <w:rPr>
          <w:rFonts w:ascii="仿宋" w:hAnsi="仿宋" w:eastAsia="仿宋" w:cs="仿宋"/>
          <w:sz w:val="32"/>
          <w:szCs w:val="32"/>
        </w:rPr>
      </w:pPr>
      <w:r>
        <w:rPr>
          <w:rFonts w:hint="eastAsia" w:ascii="仿宋_GB2312" w:hAnsi="仿宋_GB2312" w:eastAsia="仿宋_GB2312" w:cs="仿宋_GB2312"/>
          <w:b/>
          <w:sz w:val="32"/>
          <w:szCs w:val="32"/>
        </w:rPr>
        <w:t>2、末开展绩效管理的部门（单位）：</w:t>
      </w:r>
      <w:r>
        <w:rPr>
          <w:rFonts w:hint="eastAsia" w:ascii="仿宋_GB2312" w:hAnsi="仿宋_GB2312" w:eastAsia="仿宋_GB2312" w:cs="仿宋_GB2312"/>
          <w:sz w:val="32"/>
          <w:szCs w:val="32"/>
        </w:rPr>
        <w:t>无</w:t>
      </w:r>
    </w:p>
    <w:p w14:paraId="5543E7A9">
      <w:pPr>
        <w:ind w:firstLine="640"/>
        <w:rPr>
          <w:rFonts w:ascii="黑体" w:hAnsi="黑体" w:eastAsia="黑体"/>
          <w:bCs/>
          <w:sz w:val="32"/>
          <w:szCs w:val="32"/>
        </w:rPr>
      </w:pPr>
      <w:r>
        <w:rPr>
          <w:rFonts w:hint="eastAsia" w:ascii="黑体" w:hAnsi="黑体" w:eastAsia="黑体"/>
          <w:bCs/>
          <w:sz w:val="32"/>
          <w:szCs w:val="32"/>
        </w:rPr>
        <w:t>七、其他重要事项的情况说明</w:t>
      </w:r>
    </w:p>
    <w:p w14:paraId="434FD6E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（一）机关、单位运行经费支出情况。</w:t>
      </w:r>
    </w:p>
    <w:p w14:paraId="233AF766">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2017年机关运行经费24.34万元。</w:t>
      </w:r>
      <w:r>
        <w:rPr>
          <w:rFonts w:hint="eastAsia" w:ascii="仿宋_GB2312" w:hAnsi="仿宋_GB2312" w:eastAsia="仿宋_GB2312" w:cs="仿宋_GB2312"/>
          <w:color w:val="000000"/>
          <w:sz w:val="32"/>
          <w:szCs w:val="32"/>
        </w:rPr>
        <w:t>指为保障工会单位运行用于购买货物和服务的各项公用经费，包括办公及印刷费、邮电费、差旅费、会议费、福利费、日常维修费、专用材料及办公用房水电费、办公用房取暖费、办公用房物业管理费及其他费用。</w:t>
      </w:r>
      <w:r>
        <w:rPr>
          <w:rFonts w:hint="eastAsia" w:ascii="仿宋_GB2312" w:hAnsi="仿宋_GB2312" w:eastAsia="仿宋_GB2312" w:cs="仿宋_GB2312"/>
          <w:sz w:val="32"/>
          <w:szCs w:val="32"/>
        </w:rPr>
        <w:t>较2016年35.99万元减少了11.65万元，原因是降低了日常公用支出。</w:t>
      </w:r>
    </w:p>
    <w:p w14:paraId="53FD5D4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14:paraId="4A8C835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2017年本部门政府采购支出总额共2.60万元，其中政府采购货物类支出2.60万元、政府采购服务类支出0.00万元、政府采购工程类支出0.00万元。 2017年工会部门严格遵守政府采购法规政策 ，按规定办理采购事项--扶贫及办公设备2.60万元。</w:t>
      </w:r>
    </w:p>
    <w:p w14:paraId="4D150CE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（三）国有资产占用及购置情况说明</w:t>
      </w:r>
    </w:p>
    <w:p w14:paraId="6D41598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2017年末，本部门所属单位共有车辆0辆；单价20万元以上的通用设备0台（套）；单价50万元以上的通用设备0台（套）。2017年当年购置车辆0辆；购置单价20万元以上的设备0台（套）；购置单价50万元以上的通用设备0台（套）。</w:t>
      </w:r>
    </w:p>
    <w:p w14:paraId="006D9685">
      <w:pPr>
        <w:spacing w:line="500" w:lineRule="exact"/>
        <w:ind w:firstLine="640" w:firstLineChars="200"/>
        <w:rPr>
          <w:rFonts w:ascii="仿宋" w:hAnsi="仿宋" w:eastAsia="仿宋" w:cs="仿宋"/>
          <w:bCs/>
          <w:sz w:val="32"/>
          <w:szCs w:val="32"/>
        </w:rPr>
      </w:pPr>
      <w:r>
        <w:rPr>
          <w:rFonts w:hint="eastAsia" w:ascii="黑体" w:hAnsi="黑体" w:eastAsia="黑体"/>
          <w:bCs/>
          <w:sz w:val="32"/>
          <w:szCs w:val="32"/>
        </w:rPr>
        <w:t>八、专业名词解释</w:t>
      </w:r>
    </w:p>
    <w:p w14:paraId="1CD3B17B">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1、基本支出：指为保障机构正常运转、完成日常工作任务而发生的各项支出。</w:t>
      </w:r>
    </w:p>
    <w:p w14:paraId="2F27742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2、项目支出：指单位为完成特定的行政工作任务或事业发展目标所发生的各项支出。</w:t>
      </w:r>
    </w:p>
    <w:p w14:paraId="5F4FBA5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3、“三公”经费：指部门使用一般公共预算财政拨款安排的因公出国（境）费、公务用车购置及运行费和公务接待费支出。</w:t>
      </w:r>
    </w:p>
    <w:p w14:paraId="19D8B71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4、机关运行经费：指行政单位和参照公务员法管理的事业单位使用一般公共预算财政拨款安排的日常公用经费支出。</w:t>
      </w:r>
    </w:p>
    <w:p w14:paraId="404A3C63">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5、中国工会代表大会</w:t>
      </w:r>
    </w:p>
    <w:p w14:paraId="492FF97A">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工会的最高领导机关，是工会的全国代表大会和它所产生的中华全国总工会执行委员会。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14:paraId="564876E8">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中国工会全国代表大会的职权是：审议和批准中华全国总工会执行委员会的工作报告。审议和批准中华全国总工会执行委员会的经费收支情况报告和经费审查委员会的工作报告。修改中国工会章程。选举中华全国总工会执行委员会和经费审查委员会。</w:t>
      </w:r>
    </w:p>
    <w:p w14:paraId="6D408FDF">
      <w:pPr>
        <w:widowControl/>
        <w:spacing w:line="500" w:lineRule="exact"/>
        <w:ind w:firstLine="640" w:firstLineChars="200"/>
        <w:jc w:val="left"/>
        <w:rPr>
          <w:rFonts w:ascii="仿宋" w:hAnsi="仿宋" w:eastAsia="仿宋" w:cs="仿宋"/>
          <w:kern w:val="0"/>
          <w:sz w:val="32"/>
          <w:szCs w:val="32"/>
        </w:rPr>
      </w:pPr>
    </w:p>
    <w:p w14:paraId="33B9438F">
      <w:pPr>
        <w:widowControl/>
        <w:spacing w:line="500" w:lineRule="exact"/>
        <w:ind w:firstLine="640" w:firstLineChars="200"/>
        <w:jc w:val="left"/>
        <w:rPr>
          <w:rFonts w:ascii="仿宋" w:hAnsi="仿宋" w:eastAsia="仿宋" w:cs="仿宋"/>
          <w:kern w:val="0"/>
          <w:sz w:val="32"/>
          <w:szCs w:val="32"/>
        </w:rPr>
      </w:pPr>
    </w:p>
    <w:p w14:paraId="5401BEB3">
      <w:pPr>
        <w:widowControl/>
        <w:spacing w:line="500" w:lineRule="exact"/>
        <w:ind w:firstLine="640" w:firstLineChars="200"/>
        <w:jc w:val="left"/>
        <w:rPr>
          <w:rFonts w:ascii="仿宋" w:hAnsi="仿宋" w:eastAsia="仿宋" w:cs="仿宋"/>
          <w:kern w:val="0"/>
          <w:sz w:val="32"/>
          <w:szCs w:val="32"/>
        </w:rPr>
      </w:pPr>
    </w:p>
    <w:p w14:paraId="242ACF3F">
      <w:pPr>
        <w:widowControl/>
        <w:spacing w:line="500" w:lineRule="exact"/>
        <w:ind w:firstLine="5120" w:firstLineChars="16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镇安县总工会</w:t>
      </w:r>
    </w:p>
    <w:p w14:paraId="2BE1325F">
      <w:pPr>
        <w:spacing w:line="50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2018年9月16日</w:t>
      </w:r>
    </w:p>
    <w:p w14:paraId="37591498">
      <w:pPr>
        <w:spacing w:line="480" w:lineRule="exact"/>
        <w:rPr>
          <w:rFonts w:ascii="仿宋_GB2312" w:hAnsi="仿宋_GB2312" w:eastAsia="仿宋_GB2312" w:cs="仿宋_GB2312"/>
        </w:rPr>
      </w:pPr>
    </w:p>
    <w:p w14:paraId="7A5C2391">
      <w:pPr>
        <w:spacing w:line="480" w:lineRule="exact"/>
        <w:rPr>
          <w:rFonts w:ascii="仿宋_GB2312" w:hAnsi="仿宋_GB2312" w:eastAsia="仿宋_GB2312" w:cs="仿宋_GB2312"/>
        </w:rPr>
      </w:pPr>
    </w:p>
    <w:p w14:paraId="66472D69">
      <w:pPr>
        <w:spacing w:line="500" w:lineRule="exact"/>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36830</wp:posOffset>
                </wp:positionV>
                <wp:extent cx="5619750" cy="952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975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75pt;margin-top:2.9pt;height:0.75pt;width:442.5pt;z-index:251660288;mso-width-relative:page;mso-height-relative:page;" filled="f" stroked="t" coordsize="21600,21600" o:gfxdata="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UXxtzSAAAABQEAAA8AAAAAAAAAAQAgAAAAIgAAAGRycy9kb3ducmV2Lnht&#10;bFBLAQIUABQAAAAIAIdO4kCp9/QM/wEAAP8DAAAOAAAAAAAAAAEAIAAAACE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619750" cy="952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975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4pt;height:0.75pt;width:442.5pt;z-index:251661312;mso-width-relative:page;mso-height-relative:page;" filled="f" stroked="t" coordsize="21600,21600" o:gfxdata="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aUnNQAAAAGAQAADwAAAAAAAAABACAAAAAiAAAAZHJzL2Rvd25y&#10;ZXYueG1sUEsBAhQAFAAAAAgAh07iQBTnD8UCAgAA/wMAAA4AAAAAAAAAAQAgAAAAIwEAAGRycy9l&#10;Mm9Eb2MueG1sUEsFBgAAAAAGAAYAWQEAAJc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 镇安县总工会办公室                 2018年9月16日印发</w:t>
      </w:r>
    </w:p>
    <w:p w14:paraId="33F9A345">
      <w:pPr>
        <w:tabs>
          <w:tab w:val="left" w:pos="5248"/>
        </w:tabs>
        <w:spacing w:line="440" w:lineRule="exact"/>
        <w:jc w:val="left"/>
        <w:rPr>
          <w:rFonts w:ascii="仿宋_GB2312" w:hAnsi="仿宋_GB2312" w:eastAsia="仿宋_GB2312" w:cs="仿宋_GB2312"/>
          <w:sz w:val="32"/>
          <w:szCs w:val="32"/>
        </w:rPr>
      </w:pPr>
    </w:p>
    <w:sectPr>
      <w:headerReference r:id="rId3" w:type="default"/>
      <w:footerReference r:id="rId4" w:type="default"/>
      <w:pgSz w:w="11906" w:h="16838"/>
      <w:pgMar w:top="200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BD3E">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1E19EE">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31E19EE">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48F1">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B9B21"/>
    <w:multiLevelType w:val="singleLevel"/>
    <w:tmpl w:val="860B9B21"/>
    <w:lvl w:ilvl="0" w:tentative="0">
      <w:start w:val="1"/>
      <w:numFmt w:val="decimal"/>
      <w:suff w:val="nothing"/>
      <w:lvlText w:val="（%1）"/>
      <w:lvlJc w:val="left"/>
    </w:lvl>
  </w:abstractNum>
  <w:abstractNum w:abstractNumId="1">
    <w:nsid w:val="BE4C8162"/>
    <w:multiLevelType w:val="singleLevel"/>
    <w:tmpl w:val="BE4C8162"/>
    <w:lvl w:ilvl="0" w:tentative="0">
      <w:start w:val="2"/>
      <w:numFmt w:val="decimal"/>
      <w:suff w:val="nothing"/>
      <w:lvlText w:val="%1、"/>
      <w:lvlJc w:val="left"/>
    </w:lvl>
  </w:abstractNum>
  <w:abstractNum w:abstractNumId="2">
    <w:nsid w:val="79096C0B"/>
    <w:multiLevelType w:val="singleLevel"/>
    <w:tmpl w:val="79096C0B"/>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YTVlYmVkZTgxMTBlZjBmNzM5YmY4OGVhMWJmYWUifQ=="/>
  </w:docVars>
  <w:rsids>
    <w:rsidRoot w:val="5E492444"/>
    <w:rsid w:val="00014B32"/>
    <w:rsid w:val="00101A70"/>
    <w:rsid w:val="001A034A"/>
    <w:rsid w:val="001B61E3"/>
    <w:rsid w:val="001E3143"/>
    <w:rsid w:val="001F3B07"/>
    <w:rsid w:val="00207614"/>
    <w:rsid w:val="002B0062"/>
    <w:rsid w:val="00416669"/>
    <w:rsid w:val="00422D2C"/>
    <w:rsid w:val="00455382"/>
    <w:rsid w:val="004B09A9"/>
    <w:rsid w:val="00585AE5"/>
    <w:rsid w:val="00594B52"/>
    <w:rsid w:val="005F5098"/>
    <w:rsid w:val="0067718A"/>
    <w:rsid w:val="0091252F"/>
    <w:rsid w:val="00926DD3"/>
    <w:rsid w:val="00AD413B"/>
    <w:rsid w:val="00AF346F"/>
    <w:rsid w:val="00B12915"/>
    <w:rsid w:val="00B31B92"/>
    <w:rsid w:val="00BB5E06"/>
    <w:rsid w:val="00C36BB3"/>
    <w:rsid w:val="00CA1401"/>
    <w:rsid w:val="00CB2BBB"/>
    <w:rsid w:val="00D855F3"/>
    <w:rsid w:val="00E07EDD"/>
    <w:rsid w:val="00EB3219"/>
    <w:rsid w:val="00F333F2"/>
    <w:rsid w:val="02625C30"/>
    <w:rsid w:val="0276513D"/>
    <w:rsid w:val="03112A47"/>
    <w:rsid w:val="03813ED4"/>
    <w:rsid w:val="03DE1368"/>
    <w:rsid w:val="046050C3"/>
    <w:rsid w:val="04645E6D"/>
    <w:rsid w:val="04717105"/>
    <w:rsid w:val="04FD6FD6"/>
    <w:rsid w:val="05747545"/>
    <w:rsid w:val="05B12072"/>
    <w:rsid w:val="06252B65"/>
    <w:rsid w:val="062F383E"/>
    <w:rsid w:val="0641009B"/>
    <w:rsid w:val="065460DD"/>
    <w:rsid w:val="06FF6AD0"/>
    <w:rsid w:val="070F6D26"/>
    <w:rsid w:val="0713275F"/>
    <w:rsid w:val="082A74C0"/>
    <w:rsid w:val="08F1383F"/>
    <w:rsid w:val="09BA4B29"/>
    <w:rsid w:val="09BE0E7E"/>
    <w:rsid w:val="0A3208AE"/>
    <w:rsid w:val="0A611E05"/>
    <w:rsid w:val="0C5E25D5"/>
    <w:rsid w:val="0C8B3A12"/>
    <w:rsid w:val="0CDC2837"/>
    <w:rsid w:val="0D071F3F"/>
    <w:rsid w:val="0D75441E"/>
    <w:rsid w:val="0D820C37"/>
    <w:rsid w:val="0E596D80"/>
    <w:rsid w:val="0F7F6DC3"/>
    <w:rsid w:val="0FA24BA4"/>
    <w:rsid w:val="0FD44207"/>
    <w:rsid w:val="108C7199"/>
    <w:rsid w:val="1092747C"/>
    <w:rsid w:val="10B52BC2"/>
    <w:rsid w:val="11437BE5"/>
    <w:rsid w:val="11507EDB"/>
    <w:rsid w:val="124A00A5"/>
    <w:rsid w:val="1285550E"/>
    <w:rsid w:val="12C47184"/>
    <w:rsid w:val="13680FAD"/>
    <w:rsid w:val="13DD5026"/>
    <w:rsid w:val="146E452F"/>
    <w:rsid w:val="14D249A9"/>
    <w:rsid w:val="15627951"/>
    <w:rsid w:val="161E1170"/>
    <w:rsid w:val="169F3D2F"/>
    <w:rsid w:val="16D76A65"/>
    <w:rsid w:val="17065533"/>
    <w:rsid w:val="17340BCE"/>
    <w:rsid w:val="18163111"/>
    <w:rsid w:val="182F359D"/>
    <w:rsid w:val="18FD6DEC"/>
    <w:rsid w:val="194C2D47"/>
    <w:rsid w:val="1957221C"/>
    <w:rsid w:val="1A32019A"/>
    <w:rsid w:val="1A957E1A"/>
    <w:rsid w:val="1A985635"/>
    <w:rsid w:val="1B03048B"/>
    <w:rsid w:val="1B2D30F7"/>
    <w:rsid w:val="1C441A2A"/>
    <w:rsid w:val="1C4E7CCF"/>
    <w:rsid w:val="1C8C47B6"/>
    <w:rsid w:val="1CFB4113"/>
    <w:rsid w:val="1E2B3CD4"/>
    <w:rsid w:val="1EBF1C58"/>
    <w:rsid w:val="1EDB6628"/>
    <w:rsid w:val="1EFA1D28"/>
    <w:rsid w:val="1F1E2539"/>
    <w:rsid w:val="1FC042ED"/>
    <w:rsid w:val="203405FE"/>
    <w:rsid w:val="20687510"/>
    <w:rsid w:val="20C95670"/>
    <w:rsid w:val="20CC6791"/>
    <w:rsid w:val="20D91B96"/>
    <w:rsid w:val="20EE6755"/>
    <w:rsid w:val="218C33CA"/>
    <w:rsid w:val="21B203CE"/>
    <w:rsid w:val="22487DB6"/>
    <w:rsid w:val="239B70E1"/>
    <w:rsid w:val="23A05653"/>
    <w:rsid w:val="250F1E3C"/>
    <w:rsid w:val="250F2FCD"/>
    <w:rsid w:val="25126A0F"/>
    <w:rsid w:val="25A6119E"/>
    <w:rsid w:val="26551B7A"/>
    <w:rsid w:val="267E514F"/>
    <w:rsid w:val="26E66345"/>
    <w:rsid w:val="271B474C"/>
    <w:rsid w:val="272027CB"/>
    <w:rsid w:val="27BB4E02"/>
    <w:rsid w:val="27BD29B6"/>
    <w:rsid w:val="27CF2C8C"/>
    <w:rsid w:val="27EB41B4"/>
    <w:rsid w:val="293B5517"/>
    <w:rsid w:val="2A5A1A2F"/>
    <w:rsid w:val="2B593153"/>
    <w:rsid w:val="2B864346"/>
    <w:rsid w:val="2BB86CAF"/>
    <w:rsid w:val="2C026C4C"/>
    <w:rsid w:val="2C2C079B"/>
    <w:rsid w:val="2E2853F1"/>
    <w:rsid w:val="2E3C1EE0"/>
    <w:rsid w:val="2E6957B6"/>
    <w:rsid w:val="2F423FC4"/>
    <w:rsid w:val="2F6E62E8"/>
    <w:rsid w:val="302C21F7"/>
    <w:rsid w:val="305805EA"/>
    <w:rsid w:val="320D3855"/>
    <w:rsid w:val="32360BA0"/>
    <w:rsid w:val="329B0193"/>
    <w:rsid w:val="32FC7094"/>
    <w:rsid w:val="337F1546"/>
    <w:rsid w:val="34514447"/>
    <w:rsid w:val="35A818A1"/>
    <w:rsid w:val="35EB7492"/>
    <w:rsid w:val="38355438"/>
    <w:rsid w:val="385532EA"/>
    <w:rsid w:val="38864AF4"/>
    <w:rsid w:val="39367EA1"/>
    <w:rsid w:val="39810D86"/>
    <w:rsid w:val="399C12EE"/>
    <w:rsid w:val="39FC4F9C"/>
    <w:rsid w:val="3A3B0A2E"/>
    <w:rsid w:val="3A97158E"/>
    <w:rsid w:val="3B0B53DC"/>
    <w:rsid w:val="3B132EC6"/>
    <w:rsid w:val="3BB51397"/>
    <w:rsid w:val="3CAF1347"/>
    <w:rsid w:val="3D286B1F"/>
    <w:rsid w:val="3E9C3A45"/>
    <w:rsid w:val="3E9F27A4"/>
    <w:rsid w:val="3F1D2D0F"/>
    <w:rsid w:val="3F481943"/>
    <w:rsid w:val="3F8131E1"/>
    <w:rsid w:val="40136641"/>
    <w:rsid w:val="401410B1"/>
    <w:rsid w:val="40406376"/>
    <w:rsid w:val="41454307"/>
    <w:rsid w:val="41D91DE4"/>
    <w:rsid w:val="42396C21"/>
    <w:rsid w:val="42A25E4F"/>
    <w:rsid w:val="42B216AC"/>
    <w:rsid w:val="43331454"/>
    <w:rsid w:val="440D6AC9"/>
    <w:rsid w:val="44BC56F3"/>
    <w:rsid w:val="44D773C4"/>
    <w:rsid w:val="466B443A"/>
    <w:rsid w:val="466C03AF"/>
    <w:rsid w:val="470126F9"/>
    <w:rsid w:val="475F03FC"/>
    <w:rsid w:val="47605131"/>
    <w:rsid w:val="47716DB3"/>
    <w:rsid w:val="47B472B0"/>
    <w:rsid w:val="48435459"/>
    <w:rsid w:val="48F80490"/>
    <w:rsid w:val="49187278"/>
    <w:rsid w:val="4938116B"/>
    <w:rsid w:val="49C64E46"/>
    <w:rsid w:val="49CA551D"/>
    <w:rsid w:val="4A110440"/>
    <w:rsid w:val="4A52083C"/>
    <w:rsid w:val="4A9B7F0E"/>
    <w:rsid w:val="4B452023"/>
    <w:rsid w:val="4C10434A"/>
    <w:rsid w:val="4C4211E0"/>
    <w:rsid w:val="4CE61B92"/>
    <w:rsid w:val="4CFF6750"/>
    <w:rsid w:val="4FB65990"/>
    <w:rsid w:val="4FF830D4"/>
    <w:rsid w:val="501A73E7"/>
    <w:rsid w:val="51972F21"/>
    <w:rsid w:val="51A21821"/>
    <w:rsid w:val="51E50897"/>
    <w:rsid w:val="52A4286E"/>
    <w:rsid w:val="52D42A34"/>
    <w:rsid w:val="52FB3500"/>
    <w:rsid w:val="533A03B0"/>
    <w:rsid w:val="53400F13"/>
    <w:rsid w:val="53647FA1"/>
    <w:rsid w:val="53CF35EC"/>
    <w:rsid w:val="53D73E0B"/>
    <w:rsid w:val="5482183C"/>
    <w:rsid w:val="54E87F4E"/>
    <w:rsid w:val="55E7288F"/>
    <w:rsid w:val="560D52D8"/>
    <w:rsid w:val="56684CB6"/>
    <w:rsid w:val="56B93234"/>
    <w:rsid w:val="56FB5762"/>
    <w:rsid w:val="57D412E1"/>
    <w:rsid w:val="57DD73F7"/>
    <w:rsid w:val="57F3146D"/>
    <w:rsid w:val="598F49A2"/>
    <w:rsid w:val="5A1C197C"/>
    <w:rsid w:val="5AAA53EE"/>
    <w:rsid w:val="5BC257EC"/>
    <w:rsid w:val="5BF22FC6"/>
    <w:rsid w:val="5CB76956"/>
    <w:rsid w:val="5D775890"/>
    <w:rsid w:val="5E0A2EF9"/>
    <w:rsid w:val="5E185104"/>
    <w:rsid w:val="5E492444"/>
    <w:rsid w:val="5E645BB8"/>
    <w:rsid w:val="5E677FF0"/>
    <w:rsid w:val="5E926DF9"/>
    <w:rsid w:val="60EA716F"/>
    <w:rsid w:val="61173C0B"/>
    <w:rsid w:val="612A21F2"/>
    <w:rsid w:val="612A2CF4"/>
    <w:rsid w:val="61D85B01"/>
    <w:rsid w:val="62767B4B"/>
    <w:rsid w:val="63EF21D1"/>
    <w:rsid w:val="641150F2"/>
    <w:rsid w:val="64C71242"/>
    <w:rsid w:val="655A1DEA"/>
    <w:rsid w:val="663E0421"/>
    <w:rsid w:val="665F7581"/>
    <w:rsid w:val="66A37F9C"/>
    <w:rsid w:val="67865BB8"/>
    <w:rsid w:val="67C16352"/>
    <w:rsid w:val="67E1461B"/>
    <w:rsid w:val="69534A23"/>
    <w:rsid w:val="69F84BBF"/>
    <w:rsid w:val="6A4D1D4D"/>
    <w:rsid w:val="6A866DDB"/>
    <w:rsid w:val="6A8F520D"/>
    <w:rsid w:val="6A956BC7"/>
    <w:rsid w:val="6AA02C91"/>
    <w:rsid w:val="6B6964FC"/>
    <w:rsid w:val="6BDF7DE4"/>
    <w:rsid w:val="6CCD7577"/>
    <w:rsid w:val="6D1716B7"/>
    <w:rsid w:val="6D945FAF"/>
    <w:rsid w:val="6D9C2A29"/>
    <w:rsid w:val="6E0A72E7"/>
    <w:rsid w:val="6E2011BA"/>
    <w:rsid w:val="6E522C1D"/>
    <w:rsid w:val="6E7A6280"/>
    <w:rsid w:val="6FE74798"/>
    <w:rsid w:val="709A6079"/>
    <w:rsid w:val="715F7EC1"/>
    <w:rsid w:val="71C7585E"/>
    <w:rsid w:val="71E414D1"/>
    <w:rsid w:val="72850157"/>
    <w:rsid w:val="72C8437C"/>
    <w:rsid w:val="74005225"/>
    <w:rsid w:val="741725E9"/>
    <w:rsid w:val="747354D5"/>
    <w:rsid w:val="74C50961"/>
    <w:rsid w:val="75FF07B9"/>
    <w:rsid w:val="76431A83"/>
    <w:rsid w:val="765A2074"/>
    <w:rsid w:val="77544526"/>
    <w:rsid w:val="77EE60B6"/>
    <w:rsid w:val="784F51FD"/>
    <w:rsid w:val="786848E4"/>
    <w:rsid w:val="78800B18"/>
    <w:rsid w:val="790A18BA"/>
    <w:rsid w:val="79D272A1"/>
    <w:rsid w:val="79F810CB"/>
    <w:rsid w:val="7A184760"/>
    <w:rsid w:val="7A536877"/>
    <w:rsid w:val="7AEE5E43"/>
    <w:rsid w:val="7B2914B4"/>
    <w:rsid w:val="7BF8308F"/>
    <w:rsid w:val="7C224C97"/>
    <w:rsid w:val="7CA27332"/>
    <w:rsid w:val="7CC0084B"/>
    <w:rsid w:val="7CF14480"/>
    <w:rsid w:val="7D0E236F"/>
    <w:rsid w:val="7D1110A6"/>
    <w:rsid w:val="7E0205F4"/>
    <w:rsid w:val="7E5C6D7D"/>
    <w:rsid w:val="7E610274"/>
    <w:rsid w:val="7EA15EF6"/>
    <w:rsid w:val="7F482CE4"/>
    <w:rsid w:val="7FBC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脚 Char"/>
    <w:basedOn w:val="8"/>
    <w:link w:val="3"/>
    <w:semiHidden/>
    <w:qFormat/>
    <w:locked/>
    <w:uiPriority w:val="99"/>
    <w:rPr>
      <w:rFonts w:ascii="Calibri" w:hAnsi="Calibri" w:cs="黑体"/>
      <w:sz w:val="18"/>
      <w:szCs w:val="18"/>
    </w:rPr>
  </w:style>
  <w:style w:type="character" w:customStyle="1" w:styleId="11">
    <w:name w:val="页眉 Char"/>
    <w:basedOn w:val="8"/>
    <w:link w:val="4"/>
    <w:semiHidden/>
    <w:qFormat/>
    <w:locked/>
    <w:uiPriority w:val="99"/>
    <w:rPr>
      <w:rFonts w:ascii="Calibri" w:hAnsi="Calibri" w:cs="黑体"/>
      <w:sz w:val="18"/>
      <w:szCs w:val="18"/>
    </w:rPr>
  </w:style>
  <w:style w:type="paragraph" w:customStyle="1" w:styleId="12">
    <w:name w:val="Char"/>
    <w:basedOn w:val="1"/>
    <w:next w:val="1"/>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 w:type="character" w:customStyle="1" w:styleId="13">
    <w:name w:val="批注框文本 Char"/>
    <w:basedOn w:val="8"/>
    <w:link w:val="2"/>
    <w:semiHidden/>
    <w:qFormat/>
    <w:uiPriority w:val="99"/>
    <w:rPr>
      <w:rFonts w:ascii="Calibri" w:hAnsi="Calibri" w:cs="黑体"/>
      <w:sz w:val="0"/>
      <w:szCs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3387</Words>
  <Characters>3741</Characters>
  <Lines>28</Lines>
  <Paragraphs>8</Paragraphs>
  <TotalTime>7</TotalTime>
  <ScaleCrop>false</ScaleCrop>
  <LinksUpToDate>false</LinksUpToDate>
  <CharactersWithSpaces>3877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2024-10-15T03:55:00Z</dcterms:created>
  <dc:creator>郭超(拟稿)</dc:creator>
  <cp:lastModifiedBy>Administrator</cp:lastModifiedBy>
  <cp:lastPrinted>2018-08-20T09:22:00Z</cp:lastPrinted>
  <dcterms:modified xsi:type="dcterms:W3CDTF">2025-01-03T02:10:50Z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EE70F046A8E2456CAA0797D7A8F85271_13</vt:lpwstr>
  </property>
  <property fmtid="{D5CDD505-2E9C-101B-9397-08002B2CF9AE}" pid="4" name="KSOTemplateDocerSaveRecord">
    <vt:lpwstr>eyJoZGlkIjoiZTQ3YTVlYmVkZTgxMTBlZjBmNzM5YmY4OGVhMWJmYWUifQ==</vt:lpwstr>
  </property>
</Properties>
</file>