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E0" w:rsidRDefault="00BA3602">
      <w:pPr>
        <w:spacing w:line="700" w:lineRule="exact"/>
        <w:jc w:val="center"/>
        <w:rPr>
          <w:rFonts w:ascii="方正小标宋简体" w:eastAsia="方正小标宋简体" w:hAnsi="仿宋"/>
          <w:sz w:val="44"/>
          <w:szCs w:val="30"/>
        </w:rPr>
      </w:pPr>
      <w:r>
        <w:rPr>
          <w:rFonts w:ascii="方正小标宋简体" w:eastAsia="方正小标宋简体" w:hAnsi="仿宋" w:hint="eastAsia"/>
          <w:sz w:val="44"/>
          <w:szCs w:val="30"/>
        </w:rPr>
        <w:t>镇安县经济贸易局</w:t>
      </w:r>
    </w:p>
    <w:p w:rsidR="006245E0" w:rsidRDefault="00BA3602">
      <w:pPr>
        <w:spacing w:line="700" w:lineRule="exact"/>
        <w:jc w:val="center"/>
        <w:rPr>
          <w:rFonts w:ascii="方正小标宋简体" w:eastAsia="方正小标宋简体" w:hAnsi="仿宋"/>
          <w:sz w:val="44"/>
          <w:szCs w:val="30"/>
        </w:rPr>
      </w:pPr>
      <w:r>
        <w:rPr>
          <w:rFonts w:ascii="方正小标宋简体" w:eastAsia="方正小标宋简体" w:hAnsi="仿宋" w:hint="eastAsia"/>
          <w:sz w:val="44"/>
          <w:szCs w:val="30"/>
        </w:rPr>
        <w:t>2018年综合预算说明</w:t>
      </w:r>
    </w:p>
    <w:p w:rsidR="006245E0" w:rsidRDefault="006245E0">
      <w:pPr>
        <w:rPr>
          <w:rFonts w:ascii="仿宋" w:eastAsia="仿宋" w:hAnsi="仿宋"/>
          <w:sz w:val="32"/>
          <w:szCs w:val="32"/>
        </w:rPr>
      </w:pPr>
    </w:p>
    <w:p w:rsidR="006245E0" w:rsidRDefault="00BA3602">
      <w:pPr>
        <w:ind w:firstLineChars="200" w:firstLine="640"/>
        <w:rPr>
          <w:rFonts w:ascii="黑体" w:eastAsia="黑体" w:hAnsi="黑体"/>
          <w:sz w:val="32"/>
          <w:szCs w:val="32"/>
        </w:rPr>
      </w:pPr>
      <w:r>
        <w:rPr>
          <w:rFonts w:ascii="黑体" w:eastAsia="黑体" w:hAnsi="黑体" w:hint="eastAsia"/>
          <w:sz w:val="32"/>
          <w:szCs w:val="32"/>
        </w:rPr>
        <w:t>一、部门</w:t>
      </w:r>
      <w:r>
        <w:rPr>
          <w:rFonts w:ascii="黑体" w:eastAsia="黑体" w:hAnsi="黑体"/>
          <w:sz w:val="32"/>
          <w:szCs w:val="32"/>
        </w:rPr>
        <w:t>主</w:t>
      </w:r>
      <w:r>
        <w:rPr>
          <w:rFonts w:ascii="黑体" w:eastAsia="黑体" w:hAnsi="黑体" w:hint="eastAsia"/>
          <w:sz w:val="32"/>
          <w:szCs w:val="32"/>
        </w:rPr>
        <w:t>要</w:t>
      </w:r>
      <w:r>
        <w:rPr>
          <w:rFonts w:ascii="黑体" w:eastAsia="黑体" w:hAnsi="黑体"/>
          <w:sz w:val="32"/>
          <w:szCs w:val="32"/>
        </w:rPr>
        <w:t>职责</w:t>
      </w:r>
    </w:p>
    <w:p w:rsidR="006245E0" w:rsidRDefault="00BA3602">
      <w:pPr>
        <w:ind w:firstLineChars="200" w:firstLine="640"/>
        <w:rPr>
          <w:rFonts w:ascii="仿宋" w:eastAsia="仿宋" w:hAnsi="仿宋"/>
          <w:sz w:val="32"/>
          <w:szCs w:val="32"/>
        </w:rPr>
      </w:pPr>
      <w:r>
        <w:rPr>
          <w:rFonts w:ascii="仿宋" w:eastAsia="仿宋" w:hAnsi="仿宋"/>
          <w:sz w:val="32"/>
          <w:szCs w:val="32"/>
        </w:rPr>
        <w:t>（一）提出全县新型工业化发展战略和政策，协调解决新型工业化进程中的重大问题；拟定并组织实施全县工业化、信息化发展规划及行业规划，提出优化产业布局和结构调整的政策建议，推进产业结构调整和优化升级；推进全县工业和信息化融合，提升信息化水平。</w:t>
      </w:r>
      <w:r>
        <w:rPr>
          <w:rFonts w:ascii="仿宋" w:eastAsia="仿宋" w:hAnsi="仿宋"/>
          <w:sz w:val="32"/>
          <w:szCs w:val="32"/>
        </w:rPr>
        <w:br/>
        <w:t>（二）贯彻落实国家有关工业和信息化的法律法规和政策，拟定并组织实施全县工业行业产业政策；负责开展依法行政和法制工作；监测分析全县工业运行态势，发布相关信息，研究工业运行中重大问题并提出政策建议；推动淘汰落后产能、化解过剩产能，推动企业兼并重组、工业设计；组织实施相关行业准入公告管理；组织应对有关重大突发性事件，加强工业应急管理、产业安全等工作。</w:t>
      </w:r>
      <w:r>
        <w:rPr>
          <w:rFonts w:ascii="仿宋" w:eastAsia="仿宋" w:hAnsi="仿宋"/>
          <w:sz w:val="32"/>
          <w:szCs w:val="32"/>
        </w:rPr>
        <w:br/>
        <w:t>（三）负责提出全县工业和信息化固定资产投资规模和方向（含利用外资和境外投资）、县级财政性建设资金安排意见，按照市、县政府规定权限审批、核准工业固定资产投资项目和政府投资的信息化项目。</w:t>
      </w:r>
      <w:r>
        <w:rPr>
          <w:rFonts w:ascii="仿宋" w:eastAsia="仿宋" w:hAnsi="仿宋"/>
          <w:sz w:val="32"/>
          <w:szCs w:val="32"/>
        </w:rPr>
        <w:br/>
        <w:t>（四）贯彻实施国家高新技术产业中涉及生物医药、新材料等的</w:t>
      </w:r>
      <w:r>
        <w:rPr>
          <w:rFonts w:ascii="仿宋" w:eastAsia="仿宋" w:hAnsi="仿宋"/>
          <w:sz w:val="32"/>
          <w:szCs w:val="32"/>
        </w:rPr>
        <w:lastRenderedPageBreak/>
        <w:t>规划、政策和标准并组织实施；依据国家产业政策和行业法规，组织拟定全县有色、黄金、化工、医药、煤运、装饰、建材等行业管理办法，并组织实施，指导行业技术创新和技术进步，以先进实用技术改造提升传统产业；负责室内装饰和包装行业管理；组织实施有关中、省、市、县科技重大项目，推进相关科研成果产业化，推动全县软件业、信息服务业和新兴产业发展。</w:t>
      </w:r>
      <w:r>
        <w:rPr>
          <w:rFonts w:ascii="仿宋" w:eastAsia="仿宋" w:hAnsi="仿宋"/>
          <w:sz w:val="32"/>
          <w:szCs w:val="32"/>
        </w:rPr>
        <w:br/>
        <w:t>（五）贯彻执行国家重大技术装备发展和自主创新的规划、政策，依托国家重点工程建设协调有关重大专项的实施，推进重大技术装备国产化，指导引进重大技术装备的消化创新；拟定并组织实施全县工业和信息产业能源节约和资源综合利用、清洁生产促进政策，参与拟定能源和资源综合利用、清洁生产促进规划；组织协调相关重大示范工程和新产品、新技术、新设备、新材料的推广应用；指导相关行业加强安全生产管理。</w:t>
      </w:r>
      <w:r>
        <w:rPr>
          <w:rFonts w:ascii="仿宋" w:eastAsia="仿宋" w:hAnsi="仿宋"/>
          <w:sz w:val="32"/>
          <w:szCs w:val="32"/>
        </w:rPr>
        <w:br/>
        <w:t>（六）贯彻执行国家信息化建设的方针政策，统筹推进全县信息化工作，指导协调电子政务发展，推动跨行业、跨部门的互联互通和重要信息资源的开发利用、共享；协助省、市工信部门对在镇安的无线电、公用通信网、互联网、专用通信网的运行和电信与信息服务市场进行监督与服务，协调县内电信资源分配，推进电信普遍服务，保障重要通信。</w:t>
      </w:r>
      <w:r>
        <w:rPr>
          <w:rFonts w:ascii="仿宋" w:eastAsia="仿宋" w:hAnsi="仿宋"/>
          <w:sz w:val="32"/>
          <w:szCs w:val="32"/>
        </w:rPr>
        <w:br/>
        <w:t>（七）贯彻国家有关招投标工作的法律法规，拟定全县工业和信息产业招投标工作的规范性文件，负责全县工业和信息产业招投标活动的管理。</w:t>
      </w:r>
      <w:r>
        <w:rPr>
          <w:rFonts w:ascii="仿宋" w:eastAsia="仿宋" w:hAnsi="仿宋"/>
          <w:sz w:val="32"/>
          <w:szCs w:val="32"/>
        </w:rPr>
        <w:br/>
      </w:r>
      <w:r>
        <w:rPr>
          <w:rFonts w:ascii="仿宋" w:eastAsia="仿宋" w:hAnsi="仿宋"/>
          <w:sz w:val="32"/>
          <w:szCs w:val="32"/>
        </w:rPr>
        <w:lastRenderedPageBreak/>
        <w:t>（八）履行出资人职责，指导推进国有企业改革和重组，加强国有资产管理工作；推进国有企业的现代企业制度建设，完善公司法人治理结构，推动国有经济结构和布局的战略性调整。</w:t>
      </w:r>
      <w:r>
        <w:rPr>
          <w:rFonts w:ascii="仿宋" w:eastAsia="仿宋" w:hAnsi="仿宋"/>
          <w:sz w:val="32"/>
          <w:szCs w:val="32"/>
        </w:rPr>
        <w:br/>
        <w:t>（九）通过统计、稽核对所监管国有资产的保值增值情况进行监管；建立和完善国有资产保值增值指标体系，拟定考核标准；维护国有资产出资方的权益；依法对全县国有资产管理进行指导和监督。</w:t>
      </w:r>
      <w:r>
        <w:rPr>
          <w:rFonts w:ascii="仿宋" w:eastAsia="仿宋" w:hAnsi="仿宋"/>
          <w:sz w:val="32"/>
          <w:szCs w:val="32"/>
        </w:rPr>
        <w:br/>
        <w:t>（十）按照有关规定，代表县政府向县属部分国有企业派出监事会；负责监事会的日常管理工作；通过法定程序提出县属国有企业负责人任免意见、考核，并根据其经营业绩进行奖惩；建立符合社会主义市场经济体制和现代企业制度要求的选人、用人机制，完善经营者激励和约束制度。</w:t>
      </w:r>
      <w:r>
        <w:rPr>
          <w:rFonts w:ascii="仿宋" w:eastAsia="仿宋" w:hAnsi="仿宋"/>
          <w:sz w:val="32"/>
          <w:szCs w:val="32"/>
        </w:rPr>
        <w:br/>
        <w:t>（十一）贯彻执行有关中小企业、非公有制经济、县域工业化的法律法规和方针政策，研究拟定相关规范性文件及政策措施；引导非公有制企业建立现代企业制度；负责协调、指导和服务全县中小企业、非公有制经济发展，培育市场主体，促进企业成长。</w:t>
      </w:r>
      <w:r>
        <w:rPr>
          <w:rFonts w:ascii="仿宋" w:eastAsia="仿宋" w:hAnsi="仿宋"/>
          <w:sz w:val="32"/>
          <w:szCs w:val="32"/>
        </w:rPr>
        <w:br/>
        <w:t>（十二）负责拟定并组织实施全县中小企业、非公有制经济发展战略、中长期发展规划和年度目标计划，促进结构调整和转型升级；负责全县中小企业、非公有制经济发展运行情况的统计、分析、监测和评价。</w:t>
      </w:r>
    </w:p>
    <w:p w:rsidR="006245E0" w:rsidRDefault="00BA3602">
      <w:pPr>
        <w:ind w:firstLineChars="200" w:firstLine="640"/>
        <w:rPr>
          <w:rFonts w:ascii="仿宋" w:eastAsia="仿宋" w:hAnsi="仿宋"/>
          <w:sz w:val="32"/>
          <w:szCs w:val="32"/>
        </w:rPr>
      </w:pPr>
      <w:r>
        <w:rPr>
          <w:rFonts w:ascii="仿宋" w:eastAsia="仿宋" w:hAnsi="仿宋"/>
          <w:sz w:val="32"/>
          <w:szCs w:val="32"/>
        </w:rPr>
        <w:t>（十三）负责全县县域工业化、联系县域工业集中区的发展；指导中小企业招商引资与合作交流；负责企业自主创新和技术创</w:t>
      </w:r>
      <w:r>
        <w:rPr>
          <w:rFonts w:ascii="仿宋" w:eastAsia="仿宋" w:hAnsi="仿宋"/>
          <w:sz w:val="32"/>
          <w:szCs w:val="32"/>
        </w:rPr>
        <w:lastRenderedPageBreak/>
        <w:t>新，开展技术改造、新产品开发、新技术推广、市场开拓、专业化发展和品牌建设；负责中小企业、非公有制经济人才队伍建设。</w:t>
      </w:r>
      <w:r>
        <w:rPr>
          <w:rFonts w:ascii="仿宋" w:eastAsia="仿宋" w:hAnsi="仿宋"/>
          <w:sz w:val="32"/>
          <w:szCs w:val="32"/>
        </w:rPr>
        <w:br/>
        <w:t>（十四）负责全县中小企业服务体系建设；组织服务机构对创业者和中小企业开展服务；协调减轻中小企业负担工作；负责中小企业信用担保体系建设；指导企业融资。</w:t>
      </w:r>
      <w:r>
        <w:rPr>
          <w:rFonts w:ascii="仿宋" w:eastAsia="仿宋" w:hAnsi="仿宋"/>
          <w:sz w:val="32"/>
          <w:szCs w:val="32"/>
        </w:rPr>
        <w:br/>
        <w:t>（十五）贯彻落实国家有关商贸流通业法律、法规、规章和政策；拟定全县内外贸易、对外投资、对外经济合作的相关政策措施。指导外商投资管理服务工作。</w:t>
      </w:r>
      <w:r>
        <w:rPr>
          <w:rFonts w:ascii="仿宋" w:eastAsia="仿宋" w:hAnsi="仿宋"/>
          <w:sz w:val="32"/>
          <w:szCs w:val="32"/>
        </w:rPr>
        <w:br/>
        <w:t>（十六）负责推进流通产业结构调整；指导流通企业改革和商业发展;提出促进商贸流通业发展的政策建议，推动流通标准化和连锁经营、商业特许经营、物流配送、电子商务等现代流通方式的发展。</w:t>
      </w:r>
      <w:r>
        <w:rPr>
          <w:rFonts w:ascii="仿宋" w:eastAsia="仿宋" w:hAnsi="仿宋"/>
          <w:sz w:val="32"/>
          <w:szCs w:val="32"/>
        </w:rPr>
        <w:br/>
        <w:t>（十七）制定全县商贸物流发展规划并组织实施；研究提出引导市场体系建设资金投向的政策规定；指导大宗产品批发市场规划和城市商业网点规划、商业体系建设工作；推进农村市场体系建设，组织实施农村现代流通网络工程，促进城乡市场发展。</w:t>
      </w:r>
      <w:r>
        <w:rPr>
          <w:rFonts w:ascii="仿宋" w:eastAsia="仿宋" w:hAnsi="仿宋"/>
          <w:sz w:val="32"/>
          <w:szCs w:val="32"/>
        </w:rPr>
        <w:br/>
        <w:t>（十八）承担牵头协调整顿和规范市场经济秩序的责任。贯彻执行国家规范市场运行、流通秩序的政策，推动商务领域信用建设；指导全县商务信用销售，建立市场诚信公共服务平台；按有关规定对特殊流通行业进行监督管理。参与打击侵犯知识产权和制售假冒伪劣商品工作。</w:t>
      </w:r>
      <w:r>
        <w:rPr>
          <w:rFonts w:ascii="仿宋" w:eastAsia="仿宋" w:hAnsi="仿宋"/>
          <w:sz w:val="32"/>
          <w:szCs w:val="32"/>
        </w:rPr>
        <w:br/>
        <w:t>（十九）承担组织实施全县重要消费品市场调控和重要生产资料</w:t>
      </w:r>
      <w:r>
        <w:rPr>
          <w:rFonts w:ascii="仿宋" w:eastAsia="仿宋" w:hAnsi="仿宋"/>
          <w:sz w:val="32"/>
          <w:szCs w:val="32"/>
        </w:rPr>
        <w:lastRenderedPageBreak/>
        <w:t>流通管理的责任。负责建立健全全市生活必需品市场供应应急管理机制，监测分析市场运行、商品供求状况，调查分析商品价格信息，进行预测预警和信息引导；按分工负责重要消费品储备管理和市场调控工作；按有关规定对成品油流通进行监督管理。</w:t>
      </w:r>
    </w:p>
    <w:p w:rsidR="006245E0" w:rsidRDefault="00BA3602">
      <w:pPr>
        <w:ind w:firstLineChars="200" w:firstLine="640"/>
        <w:rPr>
          <w:rFonts w:ascii="黑体" w:eastAsia="黑体" w:hAnsi="黑体"/>
          <w:sz w:val="32"/>
          <w:szCs w:val="32"/>
        </w:rPr>
      </w:pPr>
      <w:r>
        <w:rPr>
          <w:rFonts w:ascii="黑体" w:eastAsia="黑体" w:hAnsi="黑体" w:hint="eastAsia"/>
          <w:sz w:val="32"/>
          <w:szCs w:val="32"/>
        </w:rPr>
        <w:t>二、2018年</w:t>
      </w:r>
      <w:r>
        <w:rPr>
          <w:rFonts w:ascii="黑体" w:eastAsia="黑体" w:hAnsi="黑体"/>
          <w:sz w:val="32"/>
          <w:szCs w:val="32"/>
        </w:rPr>
        <w:t>度部门工作任务</w:t>
      </w:r>
    </w:p>
    <w:p w:rsidR="006245E0" w:rsidRDefault="00BA3602">
      <w:pPr>
        <w:spacing w:line="600" w:lineRule="exact"/>
        <w:ind w:firstLineChars="200" w:firstLine="643"/>
        <w:rPr>
          <w:rFonts w:ascii="仿宋_GB2312" w:eastAsia="仿宋_GB2312" w:hAnsi="新宋体" w:cs="宋体"/>
          <w:kern w:val="0"/>
          <w:sz w:val="32"/>
          <w:szCs w:val="32"/>
        </w:rPr>
      </w:pPr>
      <w:r>
        <w:rPr>
          <w:rFonts w:ascii="仿宋_GB2312" w:eastAsia="仿宋_GB2312" w:hAnsi="新宋体" w:cs="宋体" w:hint="eastAsia"/>
          <w:b/>
          <w:bCs/>
          <w:kern w:val="0"/>
          <w:sz w:val="32"/>
          <w:szCs w:val="32"/>
        </w:rPr>
        <w:t>1.全力推进现代工业攻坚战。</w:t>
      </w:r>
      <w:r>
        <w:rPr>
          <w:rFonts w:ascii="仿宋_GB2312" w:eastAsia="仿宋_GB2312" w:hAnsi="新宋体" w:cs="宋体" w:hint="eastAsia"/>
          <w:kern w:val="0"/>
          <w:sz w:val="32"/>
          <w:szCs w:val="32"/>
        </w:rPr>
        <w:t>明晰八大支柱产业发展目标、重点、方向及路径，实施分行业五年专项行动计划和中小企业培育成长计划，全力抓好龙头企业发展、高新技术企业培育及小微企业扶持，优化产业结构，提升发展质量，壮大经济总量，全面打赢现代工业攻坚战，推动全县工业总体质量明显提升，确保主要经济指标增速持续保持全市前列。</w:t>
      </w:r>
    </w:p>
    <w:p w:rsidR="006245E0" w:rsidRDefault="00BA3602">
      <w:pPr>
        <w:spacing w:line="600" w:lineRule="exact"/>
        <w:ind w:firstLineChars="200" w:firstLine="643"/>
        <w:rPr>
          <w:rFonts w:ascii="仿宋_GB2312" w:eastAsia="仿宋_GB2312" w:hAnsi="楷体" w:cs="仿宋_GB2312"/>
          <w:bCs/>
          <w:sz w:val="32"/>
          <w:szCs w:val="32"/>
        </w:rPr>
      </w:pPr>
      <w:r>
        <w:rPr>
          <w:rFonts w:ascii="仿宋_GB2312" w:eastAsia="仿宋_GB2312" w:hAnsi="仿宋" w:cs="仿宋_GB2312" w:hint="eastAsia"/>
          <w:b/>
          <w:bCs/>
          <w:sz w:val="32"/>
          <w:szCs w:val="32"/>
          <w:lang/>
        </w:rPr>
        <w:t>2.加大扶贫力度助推脱贫攻坚工作。</w:t>
      </w:r>
      <w:r>
        <w:rPr>
          <w:rFonts w:ascii="仿宋_GB2312" w:eastAsia="仿宋_GB2312" w:hAnsi="楷体" w:cs="仿宋_GB2312" w:hint="eastAsia"/>
          <w:bCs/>
          <w:sz w:val="32"/>
          <w:szCs w:val="32"/>
        </w:rPr>
        <w:t>强力推进脱贫攻坚工作，准确把握新形势下脱贫攻坚的特点和规律，围绕“八个一批”精准脱贫思路，提高脱贫攻坚的精准度和实效性。重点明确发展产业是脱贫攻坚主抓手，加大产业项目支撑力度，加大工作宣传力度，合理配置资源，针对组与组、户与户差异，实行“组织联建产业基地、户户联建产业协会”，做大做强村级特色产业，争取使包扶村群众早日脱贫致富，让群众满意，让组织满意。</w:t>
      </w:r>
    </w:p>
    <w:p w:rsidR="006245E0" w:rsidRDefault="00BA3602">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3.以重大项目为抓手推动工业经济转型发展。</w:t>
      </w:r>
      <w:r>
        <w:rPr>
          <w:rFonts w:ascii="仿宋_GB2312" w:eastAsia="仿宋_GB2312" w:hAnsi="仿宋_GB2312" w:cs="仿宋_GB2312" w:hint="eastAsia"/>
          <w:sz w:val="32"/>
          <w:szCs w:val="32"/>
        </w:rPr>
        <w:t>紧扣中、省、市《中国制造2025》实施方案，以高山农产加工、清洁能源、新材料产业发展为主线，全面贯彻创新、协调、绿色、开放、共享的发展理念，</w:t>
      </w:r>
      <w:r>
        <w:rPr>
          <w:rFonts w:ascii="仿宋_GB2312" w:eastAsia="仿宋_GB2312" w:hint="eastAsia"/>
          <w:sz w:val="32"/>
          <w:szCs w:val="32"/>
        </w:rPr>
        <w:t>经过认真策划前期对接谋划了一批前景好、可操</w:t>
      </w:r>
      <w:r>
        <w:rPr>
          <w:rFonts w:ascii="仿宋_GB2312" w:eastAsia="仿宋_GB2312" w:hint="eastAsia"/>
          <w:sz w:val="32"/>
          <w:szCs w:val="32"/>
        </w:rPr>
        <w:lastRenderedPageBreak/>
        <w:t>作、思路清、见效快的项目。</w:t>
      </w:r>
    </w:p>
    <w:p w:rsidR="006245E0" w:rsidRDefault="00BA3602">
      <w:pPr>
        <w:snapToGrid w:val="0"/>
        <w:spacing w:line="580" w:lineRule="atLeast"/>
        <w:ind w:firstLineChars="200" w:firstLine="643"/>
        <w:rPr>
          <w:rFonts w:ascii="仿宋_GB2312" w:eastAsia="仿宋_GB2312"/>
          <w:b/>
          <w:bCs/>
          <w:sz w:val="32"/>
          <w:szCs w:val="32"/>
        </w:rPr>
      </w:pPr>
      <w:r>
        <w:rPr>
          <w:rFonts w:ascii="仿宋_GB2312" w:eastAsia="仿宋_GB2312" w:hint="eastAsia"/>
          <w:b/>
          <w:bCs/>
          <w:sz w:val="32"/>
          <w:szCs w:val="32"/>
        </w:rPr>
        <w:t>4.持续加强国企党建工作。</w:t>
      </w:r>
      <w:r>
        <w:rPr>
          <w:rFonts w:ascii="仿宋_GB2312" w:eastAsia="仿宋_GB2312" w:hAnsi="仿宋" w:cs="仿宋_GB2312" w:hint="eastAsia"/>
          <w:bCs/>
          <w:sz w:val="32"/>
          <w:szCs w:val="32"/>
        </w:rPr>
        <w:t>一是保障经费人员。要</w:t>
      </w:r>
      <w:r>
        <w:rPr>
          <w:rFonts w:ascii="仿宋_GB2312" w:eastAsia="仿宋_GB2312" w:hAnsi="仿宋_GB2312" w:cs="仿宋_GB2312" w:hint="eastAsia"/>
          <w:sz w:val="32"/>
          <w:szCs w:val="32"/>
        </w:rPr>
        <w:t>把党组织活动经费列入企业年度预算，建立专项资金，确保党建工作有机构、有人员、有经费、有场地。</w:t>
      </w:r>
      <w:r>
        <w:rPr>
          <w:rFonts w:ascii="仿宋_GB2312" w:eastAsia="仿宋_GB2312" w:hAnsi="仿宋" w:cs="仿宋_GB2312" w:hint="eastAsia"/>
          <w:sz w:val="32"/>
          <w:szCs w:val="32"/>
        </w:rPr>
        <w:t>每年度对企业党建工作经费是否纳入企业年度预算进行检查和考核，对不能按照规定执行的企业要视情况进行问责。</w:t>
      </w:r>
      <w:r>
        <w:rPr>
          <w:rFonts w:ascii="楷体_GB2312" w:eastAsia="楷体_GB2312" w:hAnsi="仿宋" w:cs="仿宋_GB2312" w:hint="eastAsia"/>
          <w:b/>
          <w:bCs/>
          <w:sz w:val="32"/>
          <w:szCs w:val="32"/>
        </w:rPr>
        <w:t>二抓好督促检查。</w:t>
      </w:r>
      <w:r>
        <w:rPr>
          <w:rFonts w:ascii="仿宋_GB2312" w:eastAsia="仿宋_GB2312" w:hAnsi="仿宋_GB2312" w:cs="仿宋_GB2312" w:hint="eastAsia"/>
          <w:color w:val="000000"/>
          <w:sz w:val="32"/>
          <w:szCs w:val="32"/>
        </w:rPr>
        <w:t>加大督促检查和考核力度，确保各项任务不折不扣落到实处。</w:t>
      </w:r>
      <w:r>
        <w:rPr>
          <w:rFonts w:ascii="仿宋_GB2312" w:eastAsia="仿宋_GB2312" w:hAnsi="仿宋" w:cs="仿宋_GB2312" w:hint="eastAsia"/>
          <w:sz w:val="32"/>
          <w:szCs w:val="32"/>
        </w:rPr>
        <w:t>定期巡回检查，对发现的问题直接反馈单位主要负责人，督促整改。对工作完成不及时、质量标准要求不高的，一律列为重点督导对象进行约谈。各企业党组织要严格对照任务，细化工作任务，明确时间节点，强化推进措施，推动各项任务落地生根。</w:t>
      </w:r>
      <w:r>
        <w:rPr>
          <w:rFonts w:ascii="楷体_GB2312" w:eastAsia="楷体_GB2312" w:hAnsi="楷体_GB2312" w:cs="楷体_GB2312" w:hint="eastAsia"/>
          <w:b/>
          <w:bCs/>
          <w:color w:val="000000"/>
          <w:sz w:val="32"/>
          <w:szCs w:val="32"/>
        </w:rPr>
        <w:t>三是加强指导树典型。</w:t>
      </w:r>
      <w:r>
        <w:rPr>
          <w:rFonts w:ascii="仿宋_GB2312" w:eastAsia="仿宋_GB2312" w:hAnsi="仿宋_GB2312" w:cs="仿宋_GB2312" w:hint="eastAsia"/>
          <w:color w:val="000000"/>
          <w:sz w:val="32"/>
          <w:szCs w:val="32"/>
        </w:rPr>
        <w:t>逐企业建立完善组织、队伍、制度，落实任务清单，明确要求、夯实责任，倒逼各项工作落实。要抽调党建业务骨干，对全县的国有企业党建工作开展一次督查和业务指导，逐企业查找问题、开展指导、限期整改。树立典型，加强示范引领作用，努力在全县国有企业中打造3-5个先进示范点，通过对问题较多的企业组织研判，一企一策，快速补齐短板，转化提升，达到党建“两个全覆盖”目标要求。</w:t>
      </w:r>
      <w:r>
        <w:rPr>
          <w:rFonts w:ascii="仿宋_GB2312" w:eastAsia="仿宋_GB2312" w:hAnsi="仿宋_GB2312" w:cs="仿宋_GB2312" w:hint="eastAsia"/>
          <w:b/>
          <w:bCs/>
          <w:color w:val="000000"/>
          <w:sz w:val="32"/>
          <w:szCs w:val="32"/>
        </w:rPr>
        <w:t>四要加大考评力度。</w:t>
      </w:r>
      <w:r>
        <w:rPr>
          <w:rFonts w:ascii="仿宋_GB2312" w:eastAsia="仿宋_GB2312" w:hAnsi="仿宋_GB2312" w:cs="仿宋_GB2312" w:hint="eastAsia"/>
          <w:color w:val="000000"/>
          <w:sz w:val="32"/>
          <w:szCs w:val="32"/>
        </w:rPr>
        <w:t>每年对国企党建工作进行一次考核。结果与企业领导班子调整优化和领导人员培养、使用、教育、奖惩相挂钩，对抓党建不力的要严肃问责。</w:t>
      </w:r>
    </w:p>
    <w:p w:rsidR="006245E0" w:rsidRDefault="00BA3602">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5.力创省级小微企业创业创新示范县。</w:t>
      </w:r>
      <w:r>
        <w:rPr>
          <w:rFonts w:ascii="仿宋_GB2312" w:eastAsia="仿宋_GB2312" w:hAnsi="仿宋_GB2312" w:cs="仿宋_GB2312" w:hint="eastAsia"/>
          <w:kern w:val="0"/>
          <w:sz w:val="32"/>
          <w:szCs w:val="32"/>
          <w:lang/>
        </w:rPr>
        <w:t>以推动小微企业创业创新和中小企业创业创新转型发展为主题，编制实施方案，科学细致谋划支持小微企业创业创新发展的思路、发展目标、重点工作内</w:t>
      </w:r>
      <w:r>
        <w:rPr>
          <w:rFonts w:ascii="仿宋_GB2312" w:eastAsia="仿宋_GB2312" w:hAnsi="仿宋_GB2312" w:cs="仿宋_GB2312" w:hint="eastAsia"/>
          <w:kern w:val="0"/>
          <w:sz w:val="32"/>
          <w:szCs w:val="32"/>
          <w:lang/>
        </w:rPr>
        <w:lastRenderedPageBreak/>
        <w:t>容和保障措施。</w:t>
      </w:r>
      <w:r>
        <w:rPr>
          <w:rFonts w:ascii="仿宋_GB2312" w:eastAsia="仿宋_GB2312" w:hAnsi="仿宋_GB2312" w:cs="仿宋_GB2312" w:hint="eastAsia"/>
          <w:bCs/>
          <w:sz w:val="32"/>
          <w:szCs w:val="32"/>
          <w:lang/>
        </w:rPr>
        <w:t>推进园区和小微企业创业创新基地建设；鼓励引导社会金融资本参与组建“双创”引导基金；</w:t>
      </w:r>
      <w:r>
        <w:rPr>
          <w:rFonts w:ascii="仿宋_GB2312" w:eastAsia="仿宋_GB2312" w:hAnsi="仿宋_GB2312" w:cs="仿宋_GB2312" w:hint="eastAsia"/>
          <w:kern w:val="0"/>
          <w:sz w:val="32"/>
          <w:szCs w:val="32"/>
          <w:lang/>
        </w:rPr>
        <w:t>搭建“双创”公共服务平台，整合各方资源，突出机制创新，全力创建省级小微企业创业创新示范县。</w:t>
      </w:r>
    </w:p>
    <w:p w:rsidR="006245E0" w:rsidRDefault="00BA3602">
      <w:pPr>
        <w:spacing w:line="60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6.强化</w:t>
      </w:r>
      <w:r>
        <w:rPr>
          <w:rFonts w:ascii="仿宋_GB2312" w:eastAsia="仿宋_GB2312" w:hAnsi="仿宋_GB2312" w:cs="仿宋_GB2312" w:hint="eastAsia"/>
          <w:b/>
          <w:sz w:val="32"/>
          <w:szCs w:val="32"/>
        </w:rPr>
        <w:t>招商引资和企业安全生产工作。</w:t>
      </w:r>
      <w:r>
        <w:rPr>
          <w:rFonts w:ascii="仿宋_GB2312" w:eastAsia="仿宋_GB2312" w:hAnsi="楷体" w:cs="仿宋_GB2312" w:hint="eastAsia"/>
          <w:bCs/>
          <w:sz w:val="32"/>
          <w:szCs w:val="32"/>
        </w:rPr>
        <w:t>完善招商优惠政策，优化投资环境，充分利用中国黄金、华能公司、陕西有色、陕西尧柏、翰鼎石材等已引进企业带动作用，促进镇安清洁能源、有色金属、石材工业、绿色农产品等优势资源规模化开发。积极组织开展招商活动，力促项目落地建设，为县域工业经济发展注入新能量。</w:t>
      </w:r>
    </w:p>
    <w:p w:rsidR="006245E0" w:rsidRDefault="00BA3602">
      <w:pPr>
        <w:ind w:firstLineChars="200" w:firstLine="640"/>
        <w:rPr>
          <w:rFonts w:ascii="黑体" w:eastAsia="黑体" w:hAnsi="黑体"/>
          <w:sz w:val="32"/>
          <w:szCs w:val="32"/>
        </w:rPr>
      </w:pPr>
      <w:r>
        <w:rPr>
          <w:rFonts w:ascii="黑体" w:eastAsia="黑体" w:hAnsi="黑体" w:hint="eastAsia"/>
          <w:sz w:val="32"/>
          <w:szCs w:val="32"/>
        </w:rPr>
        <w:t>三、部门</w:t>
      </w:r>
      <w:r>
        <w:rPr>
          <w:rFonts w:ascii="黑体" w:eastAsia="黑体" w:hAnsi="黑体"/>
          <w:sz w:val="32"/>
          <w:szCs w:val="32"/>
        </w:rPr>
        <w:t>预算单位构成</w:t>
      </w:r>
    </w:p>
    <w:p w:rsidR="00B26616" w:rsidRDefault="00BA3602" w:rsidP="00B26616">
      <w:pPr>
        <w:ind w:firstLineChars="200" w:firstLine="640"/>
        <w:rPr>
          <w:rFonts w:ascii="仿宋" w:eastAsia="仿宋" w:hAnsi="仿宋"/>
          <w:sz w:val="32"/>
          <w:szCs w:val="32"/>
        </w:rPr>
      </w:pPr>
      <w:r>
        <w:rPr>
          <w:rFonts w:ascii="仿宋" w:eastAsia="仿宋" w:hAnsi="仿宋" w:hint="eastAsia"/>
          <w:sz w:val="32"/>
          <w:szCs w:val="32"/>
        </w:rPr>
        <w:t>从</w:t>
      </w:r>
      <w:r>
        <w:rPr>
          <w:rFonts w:ascii="仿宋" w:eastAsia="仿宋" w:hAnsi="仿宋"/>
          <w:sz w:val="32"/>
          <w:szCs w:val="32"/>
        </w:rPr>
        <w:t>预算单位构成看</w:t>
      </w:r>
      <w:r>
        <w:rPr>
          <w:rFonts w:ascii="仿宋" w:eastAsia="仿宋" w:hAnsi="仿宋" w:hint="eastAsia"/>
          <w:sz w:val="32"/>
          <w:szCs w:val="32"/>
        </w:rPr>
        <w:t>，本部</w:t>
      </w:r>
      <w:r>
        <w:rPr>
          <w:rFonts w:ascii="仿宋" w:eastAsia="仿宋" w:hAnsi="仿宋"/>
          <w:sz w:val="32"/>
          <w:szCs w:val="32"/>
        </w:rPr>
        <w:t>门的部门预算</w:t>
      </w:r>
      <w:r>
        <w:rPr>
          <w:rFonts w:ascii="仿宋" w:eastAsia="仿宋" w:hAnsi="仿宋" w:hint="eastAsia"/>
          <w:sz w:val="32"/>
          <w:szCs w:val="32"/>
        </w:rPr>
        <w:t>仅</w:t>
      </w:r>
      <w:r>
        <w:rPr>
          <w:rFonts w:ascii="仿宋" w:eastAsia="仿宋" w:hAnsi="仿宋"/>
          <w:sz w:val="32"/>
          <w:szCs w:val="32"/>
        </w:rPr>
        <w:t>包括部门本级</w:t>
      </w:r>
      <w:r>
        <w:rPr>
          <w:rFonts w:ascii="仿宋" w:eastAsia="仿宋" w:hAnsi="仿宋" w:hint="eastAsia"/>
          <w:sz w:val="32"/>
          <w:szCs w:val="32"/>
        </w:rPr>
        <w:t>（机关）预算。</w:t>
      </w:r>
      <w:r w:rsidR="00B26616">
        <w:rPr>
          <w:rFonts w:ascii="仿宋" w:eastAsia="仿宋" w:hAnsi="仿宋" w:hint="eastAsia"/>
          <w:sz w:val="32"/>
          <w:szCs w:val="32"/>
        </w:rPr>
        <w:t>单位现内设6个股室，分别是办公室、经济运行监测股（中小企业股）、发展规划股（科技信息股）、安全生产股、行业管理股、国资监管股。</w:t>
      </w:r>
    </w:p>
    <w:p w:rsidR="00B26616" w:rsidRDefault="00B26616" w:rsidP="00B26616">
      <w:pPr>
        <w:ind w:firstLineChars="200" w:firstLine="640"/>
        <w:rPr>
          <w:rFonts w:ascii="仿宋" w:eastAsia="仿宋" w:hAnsi="仿宋"/>
          <w:sz w:val="32"/>
          <w:szCs w:val="32"/>
        </w:rPr>
      </w:pPr>
      <w:r>
        <w:rPr>
          <w:rFonts w:ascii="仿宋" w:eastAsia="仿宋" w:hAnsi="仿宋" w:hint="eastAsia"/>
          <w:sz w:val="32"/>
          <w:szCs w:val="32"/>
        </w:rPr>
        <w:t>无纳入本部门2018年部门预算编制范围的二级预算单位</w:t>
      </w:r>
      <w:r w:rsidR="00DF7608">
        <w:rPr>
          <w:rFonts w:ascii="仿宋" w:eastAsia="仿宋" w:hAnsi="仿宋" w:hint="eastAsia"/>
          <w:sz w:val="32"/>
          <w:szCs w:val="32"/>
        </w:rPr>
        <w:t>，</w:t>
      </w:r>
      <w:bookmarkStart w:id="0" w:name="_GoBack"/>
      <w:bookmarkEnd w:id="0"/>
      <w:r>
        <w:rPr>
          <w:rFonts w:ascii="仿宋" w:eastAsia="仿宋" w:hAnsi="仿宋" w:hint="eastAsia"/>
          <w:sz w:val="32"/>
          <w:szCs w:val="32"/>
        </w:rPr>
        <w:t>因此不存在部门汇总预算。</w:t>
      </w:r>
    </w:p>
    <w:p w:rsidR="006245E0" w:rsidRPr="00B26616" w:rsidRDefault="006245E0">
      <w:pPr>
        <w:ind w:firstLineChars="200" w:firstLine="640"/>
        <w:rPr>
          <w:rFonts w:ascii="仿宋" w:eastAsia="仿宋" w:hAnsi="仿宋"/>
          <w:sz w:val="32"/>
          <w:szCs w:val="32"/>
        </w:rPr>
      </w:pPr>
    </w:p>
    <w:tbl>
      <w:tblPr>
        <w:tblW w:w="77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9"/>
        <w:gridCol w:w="6323"/>
      </w:tblGrid>
      <w:tr w:rsidR="006245E0">
        <w:trPr>
          <w:trHeight w:val="805"/>
        </w:trPr>
        <w:tc>
          <w:tcPr>
            <w:tcW w:w="1379" w:type="dxa"/>
            <w:shd w:val="clear" w:color="auto" w:fill="auto"/>
          </w:tcPr>
          <w:p w:rsidR="006245E0" w:rsidRDefault="00BA3602">
            <w:pPr>
              <w:jc w:val="center"/>
              <w:rPr>
                <w:rFonts w:ascii="仿宋" w:eastAsia="仿宋" w:hAnsi="仿宋"/>
                <w:sz w:val="32"/>
                <w:szCs w:val="32"/>
              </w:rPr>
            </w:pPr>
            <w:r>
              <w:rPr>
                <w:rFonts w:ascii="仿宋" w:eastAsia="仿宋" w:hAnsi="仿宋" w:hint="eastAsia"/>
                <w:sz w:val="32"/>
                <w:szCs w:val="32"/>
              </w:rPr>
              <w:t>序号</w:t>
            </w:r>
          </w:p>
        </w:tc>
        <w:tc>
          <w:tcPr>
            <w:tcW w:w="6323" w:type="dxa"/>
            <w:shd w:val="clear" w:color="auto" w:fill="auto"/>
          </w:tcPr>
          <w:p w:rsidR="006245E0" w:rsidRDefault="00BA3602">
            <w:pPr>
              <w:jc w:val="center"/>
              <w:rPr>
                <w:rFonts w:ascii="仿宋" w:eastAsia="仿宋" w:hAnsi="仿宋"/>
                <w:sz w:val="32"/>
                <w:szCs w:val="32"/>
              </w:rPr>
            </w:pPr>
            <w:r>
              <w:rPr>
                <w:rFonts w:ascii="仿宋" w:eastAsia="仿宋" w:hAnsi="仿宋" w:hint="eastAsia"/>
                <w:sz w:val="32"/>
                <w:szCs w:val="32"/>
              </w:rPr>
              <w:t>单位</w:t>
            </w:r>
            <w:r>
              <w:rPr>
                <w:rFonts w:ascii="仿宋" w:eastAsia="仿宋" w:hAnsi="仿宋"/>
                <w:sz w:val="32"/>
                <w:szCs w:val="32"/>
              </w:rPr>
              <w:t>名称</w:t>
            </w:r>
          </w:p>
        </w:tc>
      </w:tr>
      <w:tr w:rsidR="006245E0">
        <w:trPr>
          <w:trHeight w:val="760"/>
        </w:trPr>
        <w:tc>
          <w:tcPr>
            <w:tcW w:w="1379" w:type="dxa"/>
            <w:shd w:val="clear" w:color="auto" w:fill="auto"/>
          </w:tcPr>
          <w:p w:rsidR="006245E0" w:rsidRDefault="00BA3602">
            <w:pPr>
              <w:jc w:val="center"/>
              <w:rPr>
                <w:rFonts w:ascii="仿宋" w:eastAsia="仿宋" w:hAnsi="仿宋"/>
                <w:sz w:val="32"/>
                <w:szCs w:val="32"/>
              </w:rPr>
            </w:pPr>
            <w:r>
              <w:rPr>
                <w:rFonts w:ascii="仿宋" w:eastAsia="仿宋" w:hAnsi="仿宋" w:hint="eastAsia"/>
                <w:sz w:val="32"/>
                <w:szCs w:val="32"/>
              </w:rPr>
              <w:t>1</w:t>
            </w:r>
          </w:p>
        </w:tc>
        <w:tc>
          <w:tcPr>
            <w:tcW w:w="6323" w:type="dxa"/>
            <w:shd w:val="clear" w:color="auto" w:fill="auto"/>
          </w:tcPr>
          <w:p w:rsidR="006245E0" w:rsidRDefault="00BA3602">
            <w:pPr>
              <w:rPr>
                <w:rFonts w:ascii="仿宋" w:eastAsia="仿宋" w:hAnsi="仿宋"/>
                <w:sz w:val="32"/>
                <w:szCs w:val="32"/>
              </w:rPr>
            </w:pPr>
            <w:r>
              <w:rPr>
                <w:rFonts w:ascii="仿宋" w:eastAsia="仿宋" w:hAnsi="仿宋" w:hint="eastAsia"/>
                <w:sz w:val="32"/>
                <w:szCs w:val="32"/>
              </w:rPr>
              <w:t>镇安县经济贸易局</w:t>
            </w:r>
            <w:r>
              <w:rPr>
                <w:rFonts w:ascii="仿宋" w:eastAsia="仿宋" w:hAnsi="仿宋"/>
                <w:sz w:val="32"/>
                <w:szCs w:val="32"/>
              </w:rPr>
              <w:t>本级</w:t>
            </w:r>
            <w:r>
              <w:rPr>
                <w:rFonts w:ascii="仿宋" w:eastAsia="仿宋" w:hAnsi="仿宋" w:hint="eastAsia"/>
                <w:sz w:val="32"/>
                <w:szCs w:val="32"/>
              </w:rPr>
              <w:t>（机关）</w:t>
            </w:r>
          </w:p>
        </w:tc>
      </w:tr>
    </w:tbl>
    <w:p w:rsidR="006245E0" w:rsidRDefault="00BA3602">
      <w:pPr>
        <w:ind w:firstLineChars="200" w:firstLine="640"/>
        <w:rPr>
          <w:rFonts w:ascii="黑体" w:eastAsia="黑体" w:hAnsi="黑体"/>
          <w:sz w:val="32"/>
          <w:szCs w:val="32"/>
        </w:rPr>
      </w:pPr>
      <w:r>
        <w:rPr>
          <w:rFonts w:ascii="黑体" w:eastAsia="黑体" w:hAnsi="黑体" w:hint="eastAsia"/>
          <w:sz w:val="32"/>
          <w:szCs w:val="32"/>
        </w:rPr>
        <w:t>四、部门</w:t>
      </w:r>
      <w:r>
        <w:rPr>
          <w:rFonts w:ascii="黑体" w:eastAsia="黑体" w:hAnsi="黑体"/>
          <w:sz w:val="32"/>
          <w:szCs w:val="32"/>
        </w:rPr>
        <w:t>人员情况说明</w:t>
      </w:r>
    </w:p>
    <w:p w:rsidR="006245E0" w:rsidRDefault="00BA3602">
      <w:pPr>
        <w:ind w:firstLineChars="200" w:firstLine="640"/>
        <w:rPr>
          <w:rFonts w:ascii="仿宋" w:eastAsia="仿宋" w:hAnsi="仿宋"/>
          <w:sz w:val="32"/>
          <w:szCs w:val="32"/>
        </w:rPr>
      </w:pPr>
      <w:r>
        <w:rPr>
          <w:rFonts w:ascii="仿宋" w:eastAsia="仿宋" w:hAnsi="仿宋" w:hint="eastAsia"/>
          <w:sz w:val="32"/>
          <w:szCs w:val="32"/>
        </w:rPr>
        <w:lastRenderedPageBreak/>
        <w:t>截止2017年底，本部</w:t>
      </w:r>
      <w:r>
        <w:rPr>
          <w:rFonts w:ascii="仿宋" w:eastAsia="仿宋" w:hAnsi="仿宋"/>
          <w:sz w:val="32"/>
          <w:szCs w:val="32"/>
        </w:rPr>
        <w:t>门人员编制</w:t>
      </w:r>
      <w:r>
        <w:rPr>
          <w:rFonts w:ascii="仿宋" w:eastAsia="仿宋" w:hAnsi="仿宋" w:hint="eastAsia"/>
          <w:sz w:val="32"/>
          <w:szCs w:val="32"/>
        </w:rPr>
        <w:t>13人，其中</w:t>
      </w:r>
      <w:r>
        <w:rPr>
          <w:rFonts w:ascii="仿宋" w:eastAsia="仿宋" w:hAnsi="仿宋"/>
          <w:sz w:val="32"/>
          <w:szCs w:val="32"/>
        </w:rPr>
        <w:t>行政编制</w:t>
      </w:r>
      <w:r>
        <w:rPr>
          <w:rFonts w:ascii="仿宋" w:eastAsia="仿宋" w:hAnsi="仿宋" w:hint="eastAsia"/>
          <w:sz w:val="32"/>
          <w:szCs w:val="32"/>
        </w:rPr>
        <w:t>11人、事业</w:t>
      </w:r>
      <w:r>
        <w:rPr>
          <w:rFonts w:ascii="仿宋" w:eastAsia="仿宋" w:hAnsi="仿宋"/>
          <w:sz w:val="32"/>
          <w:szCs w:val="32"/>
        </w:rPr>
        <w:t>编制</w:t>
      </w:r>
      <w:r>
        <w:rPr>
          <w:rFonts w:ascii="仿宋" w:eastAsia="仿宋" w:hAnsi="仿宋" w:hint="eastAsia"/>
          <w:sz w:val="32"/>
          <w:szCs w:val="32"/>
        </w:rPr>
        <w:t>2人；实</w:t>
      </w:r>
      <w:r>
        <w:rPr>
          <w:rFonts w:ascii="仿宋" w:eastAsia="仿宋" w:hAnsi="仿宋"/>
          <w:sz w:val="32"/>
          <w:szCs w:val="32"/>
        </w:rPr>
        <w:t>有人员</w:t>
      </w:r>
      <w:r>
        <w:rPr>
          <w:rFonts w:ascii="仿宋" w:eastAsia="仿宋" w:hAnsi="仿宋" w:hint="eastAsia"/>
          <w:sz w:val="32"/>
          <w:szCs w:val="32"/>
        </w:rPr>
        <w:t>24人，其中</w:t>
      </w:r>
      <w:r>
        <w:rPr>
          <w:rFonts w:ascii="仿宋" w:eastAsia="仿宋" w:hAnsi="仿宋"/>
          <w:sz w:val="32"/>
          <w:szCs w:val="32"/>
        </w:rPr>
        <w:t>行政</w:t>
      </w:r>
      <w:r>
        <w:rPr>
          <w:rFonts w:ascii="仿宋" w:eastAsia="仿宋" w:hAnsi="仿宋" w:hint="eastAsia"/>
          <w:sz w:val="32"/>
          <w:szCs w:val="32"/>
        </w:rPr>
        <w:t>22人，工勤2人。单位</w:t>
      </w:r>
      <w:r>
        <w:rPr>
          <w:rFonts w:ascii="仿宋" w:eastAsia="仿宋" w:hAnsi="仿宋"/>
          <w:sz w:val="32"/>
          <w:szCs w:val="32"/>
        </w:rPr>
        <w:t>管理的离退休人</w:t>
      </w:r>
      <w:r>
        <w:rPr>
          <w:rFonts w:ascii="仿宋" w:eastAsia="仿宋" w:hAnsi="仿宋" w:hint="eastAsia"/>
          <w:sz w:val="32"/>
          <w:szCs w:val="32"/>
        </w:rPr>
        <w:t>员28人。</w:t>
      </w:r>
    </w:p>
    <w:p w:rsidR="006245E0" w:rsidRDefault="00BA3602">
      <w:pPr>
        <w:ind w:firstLineChars="200" w:firstLine="640"/>
        <w:rPr>
          <w:rFonts w:ascii="仿宋" w:eastAsia="仿宋" w:hAnsi="仿宋"/>
          <w:sz w:val="32"/>
          <w:szCs w:val="32"/>
        </w:rPr>
      </w:pPr>
      <w:r>
        <w:rPr>
          <w:rFonts w:ascii="仿宋" w:eastAsia="仿宋" w:hAnsi="仿宋" w:hint="eastAsia"/>
          <w:noProof/>
          <w:sz w:val="32"/>
          <w:szCs w:val="32"/>
        </w:rPr>
        <w:drawing>
          <wp:inline distT="0" distB="0" distL="114300" distR="114300">
            <wp:extent cx="5146040" cy="2470785"/>
            <wp:effectExtent l="4445" t="4445" r="12065" b="203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45E0" w:rsidRDefault="00BA3602">
      <w:pPr>
        <w:ind w:firstLineChars="200" w:firstLine="640"/>
        <w:rPr>
          <w:rFonts w:ascii="黑体" w:eastAsia="黑体" w:hAnsi="黑体"/>
          <w:sz w:val="32"/>
          <w:szCs w:val="32"/>
        </w:rPr>
      </w:pPr>
      <w:r>
        <w:rPr>
          <w:rFonts w:ascii="黑体" w:eastAsia="黑体" w:hAnsi="黑体" w:hint="eastAsia"/>
          <w:sz w:val="32"/>
          <w:szCs w:val="32"/>
        </w:rPr>
        <w:t>五、部门</w:t>
      </w:r>
      <w:r>
        <w:rPr>
          <w:rFonts w:ascii="黑体" w:eastAsia="黑体" w:hAnsi="黑体"/>
          <w:sz w:val="32"/>
          <w:szCs w:val="32"/>
        </w:rPr>
        <w:t>国有资产占有使用及资产购置情况说明</w:t>
      </w:r>
    </w:p>
    <w:p w:rsidR="006245E0" w:rsidRDefault="00BA3602">
      <w:pPr>
        <w:ind w:firstLineChars="200" w:firstLine="640"/>
        <w:rPr>
          <w:rFonts w:ascii="仿宋" w:eastAsia="仿宋" w:hAnsi="仿宋"/>
          <w:sz w:val="32"/>
          <w:szCs w:val="32"/>
        </w:rPr>
      </w:pPr>
      <w:r>
        <w:rPr>
          <w:rFonts w:ascii="仿宋" w:eastAsia="仿宋" w:hAnsi="仿宋" w:hint="eastAsia"/>
          <w:sz w:val="32"/>
          <w:szCs w:val="32"/>
        </w:rPr>
        <w:t>截至2017年9月3</w:t>
      </w:r>
      <w:r>
        <w:rPr>
          <w:rFonts w:ascii="仿宋" w:eastAsia="仿宋" w:hAnsi="仿宋"/>
          <w:sz w:val="32"/>
          <w:szCs w:val="32"/>
        </w:rPr>
        <w:t>0</w:t>
      </w:r>
      <w:r>
        <w:rPr>
          <w:rFonts w:ascii="仿宋" w:eastAsia="仿宋" w:hAnsi="仿宋" w:hint="eastAsia"/>
          <w:sz w:val="32"/>
          <w:szCs w:val="32"/>
        </w:rPr>
        <w:t>日，本</w:t>
      </w:r>
      <w:r>
        <w:rPr>
          <w:rFonts w:ascii="仿宋" w:eastAsia="仿宋" w:hAnsi="仿宋"/>
          <w:sz w:val="32"/>
          <w:szCs w:val="32"/>
        </w:rPr>
        <w:t>部门所属预算单位共有车辆</w:t>
      </w:r>
      <w:r>
        <w:rPr>
          <w:rFonts w:ascii="仿宋" w:eastAsia="仿宋" w:hAnsi="仿宋" w:hint="eastAsia"/>
          <w:sz w:val="32"/>
          <w:szCs w:val="32"/>
        </w:rPr>
        <w:t>0辆，单价20万元</w:t>
      </w:r>
      <w:r>
        <w:rPr>
          <w:rFonts w:ascii="仿宋" w:eastAsia="仿宋" w:hAnsi="仿宋"/>
          <w:sz w:val="32"/>
          <w:szCs w:val="32"/>
        </w:rPr>
        <w:t>以上的设备</w:t>
      </w:r>
      <w:r>
        <w:rPr>
          <w:rFonts w:ascii="仿宋" w:eastAsia="仿宋" w:hAnsi="仿宋" w:hint="eastAsia"/>
          <w:sz w:val="32"/>
          <w:szCs w:val="32"/>
        </w:rPr>
        <w:t>0台（套）。2</w:t>
      </w:r>
      <w:r>
        <w:rPr>
          <w:rFonts w:ascii="仿宋" w:eastAsia="仿宋" w:hAnsi="仿宋"/>
          <w:sz w:val="32"/>
          <w:szCs w:val="32"/>
        </w:rPr>
        <w:t>018</w:t>
      </w:r>
      <w:r>
        <w:rPr>
          <w:rFonts w:ascii="仿宋" w:eastAsia="仿宋" w:hAnsi="仿宋" w:hint="eastAsia"/>
          <w:sz w:val="32"/>
          <w:szCs w:val="32"/>
        </w:rPr>
        <w:t>年</w:t>
      </w:r>
      <w:r>
        <w:rPr>
          <w:rFonts w:ascii="仿宋" w:eastAsia="仿宋" w:hAnsi="仿宋"/>
          <w:sz w:val="32"/>
          <w:szCs w:val="32"/>
        </w:rPr>
        <w:t>部门预算安排购置车辆</w:t>
      </w:r>
      <w:r>
        <w:rPr>
          <w:rFonts w:ascii="仿宋" w:eastAsia="仿宋" w:hAnsi="仿宋" w:hint="eastAsia"/>
          <w:sz w:val="32"/>
          <w:szCs w:val="32"/>
        </w:rPr>
        <w:t>0辆；安排</w:t>
      </w:r>
      <w:r>
        <w:rPr>
          <w:rFonts w:ascii="仿宋" w:eastAsia="仿宋" w:hAnsi="仿宋"/>
          <w:sz w:val="32"/>
          <w:szCs w:val="32"/>
        </w:rPr>
        <w:t>购置单</w:t>
      </w:r>
      <w:r>
        <w:rPr>
          <w:rFonts w:ascii="仿宋" w:eastAsia="仿宋" w:hAnsi="仿宋" w:hint="eastAsia"/>
          <w:sz w:val="32"/>
          <w:szCs w:val="32"/>
        </w:rPr>
        <w:t>价2</w:t>
      </w:r>
      <w:r>
        <w:rPr>
          <w:rFonts w:ascii="仿宋" w:eastAsia="仿宋" w:hAnsi="仿宋"/>
          <w:sz w:val="32"/>
          <w:szCs w:val="32"/>
        </w:rPr>
        <w:t>0</w:t>
      </w:r>
      <w:r>
        <w:rPr>
          <w:rFonts w:ascii="仿宋" w:eastAsia="仿宋" w:hAnsi="仿宋" w:hint="eastAsia"/>
          <w:sz w:val="32"/>
          <w:szCs w:val="32"/>
        </w:rPr>
        <w:t>万元</w:t>
      </w:r>
      <w:r>
        <w:rPr>
          <w:rFonts w:ascii="仿宋" w:eastAsia="仿宋" w:hAnsi="仿宋"/>
          <w:sz w:val="32"/>
          <w:szCs w:val="32"/>
        </w:rPr>
        <w:t>以上的设备</w:t>
      </w:r>
      <w:r>
        <w:rPr>
          <w:rFonts w:ascii="仿宋" w:eastAsia="仿宋" w:hAnsi="仿宋" w:hint="eastAsia"/>
          <w:sz w:val="32"/>
          <w:szCs w:val="32"/>
        </w:rPr>
        <w:t>0台（套）。</w:t>
      </w:r>
    </w:p>
    <w:p w:rsidR="006245E0" w:rsidRDefault="00BA3602">
      <w:pPr>
        <w:ind w:firstLineChars="200" w:firstLine="640"/>
        <w:rPr>
          <w:rFonts w:ascii="黑体" w:eastAsia="黑体" w:hAnsi="黑体"/>
          <w:sz w:val="32"/>
          <w:szCs w:val="32"/>
        </w:rPr>
      </w:pPr>
      <w:r>
        <w:rPr>
          <w:rFonts w:ascii="黑体" w:eastAsia="黑体" w:hAnsi="黑体" w:hint="eastAsia"/>
          <w:sz w:val="32"/>
          <w:szCs w:val="32"/>
        </w:rPr>
        <w:t>六、部门</w:t>
      </w:r>
      <w:r>
        <w:rPr>
          <w:rFonts w:ascii="黑体" w:eastAsia="黑体" w:hAnsi="黑体"/>
          <w:sz w:val="32"/>
          <w:szCs w:val="32"/>
        </w:rPr>
        <w:t>预算</w:t>
      </w:r>
      <w:r>
        <w:rPr>
          <w:rFonts w:ascii="黑体" w:eastAsia="黑体" w:hAnsi="黑体" w:hint="eastAsia"/>
          <w:sz w:val="32"/>
          <w:szCs w:val="32"/>
        </w:rPr>
        <w:t>绩</w:t>
      </w:r>
      <w:r>
        <w:rPr>
          <w:rFonts w:ascii="黑体" w:eastAsia="黑体" w:hAnsi="黑体"/>
          <w:sz w:val="32"/>
          <w:szCs w:val="32"/>
        </w:rPr>
        <w:t>效目标说明</w:t>
      </w:r>
    </w:p>
    <w:p w:rsidR="003C4027" w:rsidRDefault="003C4027">
      <w:pPr>
        <w:ind w:firstLineChars="200" w:firstLine="640"/>
        <w:rPr>
          <w:rFonts w:ascii="仿宋" w:eastAsia="仿宋" w:hAnsi="仿宋"/>
          <w:sz w:val="32"/>
          <w:szCs w:val="32"/>
        </w:rPr>
      </w:pPr>
      <w:r w:rsidRPr="003C4027">
        <w:rPr>
          <w:rFonts w:ascii="仿宋" w:eastAsia="仿宋" w:hAnsi="仿宋" w:hint="eastAsia"/>
          <w:sz w:val="32"/>
          <w:szCs w:val="32"/>
        </w:rPr>
        <w:t>本部门还未开展绩效管理，根据财政局安排正在推进此项工作。</w:t>
      </w:r>
    </w:p>
    <w:p w:rsidR="006245E0" w:rsidRDefault="00BA3602">
      <w:pPr>
        <w:ind w:firstLineChars="200" w:firstLine="640"/>
        <w:rPr>
          <w:rFonts w:ascii="黑体" w:eastAsia="黑体" w:hAnsi="黑体"/>
          <w:sz w:val="32"/>
          <w:szCs w:val="32"/>
        </w:rPr>
      </w:pPr>
      <w:r>
        <w:rPr>
          <w:rFonts w:ascii="黑体" w:eastAsia="黑体" w:hAnsi="黑体" w:hint="eastAsia"/>
          <w:sz w:val="32"/>
          <w:szCs w:val="32"/>
        </w:rPr>
        <w:t>七、2</w:t>
      </w:r>
      <w:r>
        <w:rPr>
          <w:rFonts w:ascii="黑体" w:eastAsia="黑体" w:hAnsi="黑体"/>
          <w:sz w:val="32"/>
          <w:szCs w:val="32"/>
        </w:rPr>
        <w:t>018</w:t>
      </w:r>
      <w:r>
        <w:rPr>
          <w:rFonts w:ascii="黑体" w:eastAsia="黑体" w:hAnsi="黑体" w:hint="eastAsia"/>
          <w:sz w:val="32"/>
          <w:szCs w:val="32"/>
        </w:rPr>
        <w:t>年</w:t>
      </w:r>
      <w:r>
        <w:rPr>
          <w:rFonts w:ascii="黑体" w:eastAsia="黑体" w:hAnsi="黑体"/>
          <w:sz w:val="32"/>
          <w:szCs w:val="32"/>
        </w:rPr>
        <w:t>部门预算收支说明</w:t>
      </w:r>
    </w:p>
    <w:p w:rsidR="006245E0" w:rsidRDefault="00BA3602">
      <w:pPr>
        <w:numPr>
          <w:ilvl w:val="0"/>
          <w:numId w:val="1"/>
        </w:numPr>
        <w:ind w:firstLineChars="200" w:firstLine="640"/>
        <w:rPr>
          <w:rFonts w:ascii="仿宋" w:eastAsia="仿宋" w:hAnsi="仿宋"/>
          <w:sz w:val="32"/>
          <w:szCs w:val="32"/>
        </w:rPr>
      </w:pPr>
      <w:r>
        <w:rPr>
          <w:rFonts w:ascii="仿宋" w:eastAsia="仿宋" w:hAnsi="仿宋" w:hint="eastAsia"/>
          <w:sz w:val="32"/>
          <w:szCs w:val="32"/>
        </w:rPr>
        <w:t>收</w:t>
      </w:r>
      <w:r>
        <w:rPr>
          <w:rFonts w:ascii="仿宋" w:eastAsia="仿宋" w:hAnsi="仿宋"/>
          <w:sz w:val="32"/>
          <w:szCs w:val="32"/>
        </w:rPr>
        <w:t>支预算总</w:t>
      </w:r>
      <w:r>
        <w:rPr>
          <w:rFonts w:ascii="仿宋" w:eastAsia="仿宋" w:hAnsi="仿宋" w:hint="eastAsia"/>
          <w:sz w:val="32"/>
          <w:szCs w:val="32"/>
        </w:rPr>
        <w:t>体</w:t>
      </w:r>
      <w:r>
        <w:rPr>
          <w:rFonts w:ascii="仿宋" w:eastAsia="仿宋" w:hAnsi="仿宋"/>
          <w:sz w:val="32"/>
          <w:szCs w:val="32"/>
        </w:rPr>
        <w:t>情况</w:t>
      </w:r>
      <w:r>
        <w:rPr>
          <w:rFonts w:ascii="仿宋" w:eastAsia="仿宋" w:hAnsi="仿宋" w:hint="eastAsia"/>
          <w:sz w:val="32"/>
          <w:szCs w:val="32"/>
        </w:rPr>
        <w:t>。</w:t>
      </w:r>
    </w:p>
    <w:p w:rsidR="006245E0" w:rsidRDefault="00BA3602">
      <w:pPr>
        <w:ind w:firstLine="640"/>
        <w:rPr>
          <w:rFonts w:ascii="仿宋" w:eastAsia="仿宋" w:hAnsi="仿宋"/>
          <w:sz w:val="32"/>
          <w:szCs w:val="32"/>
        </w:rPr>
      </w:pPr>
      <w:r>
        <w:rPr>
          <w:rFonts w:ascii="仿宋" w:eastAsia="仿宋" w:hAnsi="仿宋" w:hint="eastAsia"/>
          <w:sz w:val="32"/>
          <w:szCs w:val="32"/>
        </w:rPr>
        <w:t>本部门2018年总体收支244.33万元，较上年预算减少115.53万元，主要是退休人员养老金剥离本单位。</w:t>
      </w:r>
    </w:p>
    <w:p w:rsidR="006245E0" w:rsidRDefault="00BA3602">
      <w:pPr>
        <w:numPr>
          <w:ilvl w:val="0"/>
          <w:numId w:val="1"/>
        </w:numPr>
        <w:ind w:firstLineChars="200" w:firstLine="640"/>
        <w:rPr>
          <w:rFonts w:ascii="仿宋" w:eastAsia="仿宋" w:hAnsi="仿宋"/>
          <w:sz w:val="32"/>
          <w:szCs w:val="32"/>
        </w:rPr>
      </w:pPr>
      <w:r>
        <w:rPr>
          <w:rFonts w:ascii="仿宋" w:eastAsia="仿宋" w:hAnsi="仿宋" w:hint="eastAsia"/>
          <w:sz w:val="32"/>
          <w:szCs w:val="32"/>
        </w:rPr>
        <w:t>财政</w:t>
      </w:r>
      <w:r>
        <w:rPr>
          <w:rFonts w:ascii="仿宋" w:eastAsia="仿宋" w:hAnsi="仿宋"/>
          <w:sz w:val="32"/>
          <w:szCs w:val="32"/>
        </w:rPr>
        <w:t>拨款</w:t>
      </w:r>
      <w:r>
        <w:rPr>
          <w:rFonts w:ascii="仿宋" w:eastAsia="仿宋" w:hAnsi="仿宋" w:hint="eastAsia"/>
          <w:sz w:val="32"/>
          <w:szCs w:val="32"/>
        </w:rPr>
        <w:t>收</w:t>
      </w:r>
      <w:r>
        <w:rPr>
          <w:rFonts w:ascii="仿宋" w:eastAsia="仿宋" w:hAnsi="仿宋"/>
          <w:sz w:val="32"/>
          <w:szCs w:val="32"/>
        </w:rPr>
        <w:t>支情况</w:t>
      </w:r>
      <w:r>
        <w:rPr>
          <w:rFonts w:ascii="仿宋" w:eastAsia="仿宋" w:hAnsi="仿宋" w:hint="eastAsia"/>
          <w:sz w:val="32"/>
          <w:szCs w:val="32"/>
        </w:rPr>
        <w:t>。</w:t>
      </w:r>
    </w:p>
    <w:p w:rsidR="006245E0" w:rsidRDefault="00BA3602">
      <w:pPr>
        <w:ind w:firstLine="640"/>
        <w:rPr>
          <w:rFonts w:ascii="仿宋" w:eastAsia="仿宋" w:hAnsi="仿宋"/>
          <w:sz w:val="32"/>
          <w:szCs w:val="32"/>
        </w:rPr>
      </w:pPr>
      <w:r>
        <w:rPr>
          <w:rFonts w:ascii="仿宋" w:eastAsia="仿宋" w:hAnsi="仿宋" w:hint="eastAsia"/>
          <w:sz w:val="32"/>
          <w:szCs w:val="32"/>
        </w:rPr>
        <w:lastRenderedPageBreak/>
        <w:t>本年度财政收支拨款244.33万元，较上年预算减少115.53万元，主要是退休人员养老金剥离本单位。</w:t>
      </w:r>
    </w:p>
    <w:p w:rsidR="006245E0" w:rsidRDefault="00BA3602">
      <w:pPr>
        <w:ind w:firstLine="640"/>
        <w:rPr>
          <w:rFonts w:ascii="仿宋" w:eastAsia="仿宋" w:hAnsi="仿宋"/>
          <w:sz w:val="32"/>
          <w:szCs w:val="32"/>
        </w:rPr>
      </w:pPr>
      <w:r>
        <w:rPr>
          <w:rFonts w:ascii="仿宋" w:eastAsia="仿宋" w:hAnsi="仿宋" w:hint="eastAsia"/>
          <w:sz w:val="32"/>
          <w:szCs w:val="32"/>
        </w:rPr>
        <w:t>本年度财政收入拨款244.33万元，其中：人员经费和公用经费支出237.33万元，专项业务经费支出7万元</w:t>
      </w:r>
      <w:r w:rsidR="003C4027">
        <w:rPr>
          <w:rFonts w:ascii="仿宋" w:eastAsia="仿宋" w:hAnsi="仿宋" w:hint="eastAsia"/>
          <w:sz w:val="32"/>
          <w:szCs w:val="32"/>
        </w:rPr>
        <w:t>，</w:t>
      </w:r>
      <w:r w:rsidR="003C4027" w:rsidRPr="003C4027">
        <w:rPr>
          <w:rFonts w:ascii="仿宋" w:eastAsia="仿宋" w:hAnsi="仿宋" w:hint="eastAsia"/>
          <w:sz w:val="32"/>
          <w:szCs w:val="32"/>
        </w:rPr>
        <w:t>主要是退休人员养老金剥离本单位</w:t>
      </w:r>
      <w:r>
        <w:rPr>
          <w:rFonts w:ascii="仿宋" w:eastAsia="仿宋" w:hAnsi="仿宋" w:hint="eastAsia"/>
          <w:sz w:val="32"/>
          <w:szCs w:val="32"/>
        </w:rPr>
        <w:t>。</w:t>
      </w:r>
    </w:p>
    <w:p w:rsidR="006245E0" w:rsidRDefault="00BA3602">
      <w:pPr>
        <w:ind w:firstLineChars="200" w:firstLine="640"/>
        <w:rPr>
          <w:rFonts w:ascii="仿宋" w:eastAsia="仿宋" w:hAnsi="仿宋"/>
          <w:sz w:val="32"/>
          <w:szCs w:val="32"/>
        </w:rPr>
      </w:pPr>
      <w:r>
        <w:rPr>
          <w:rFonts w:ascii="仿宋" w:eastAsia="仿宋" w:hAnsi="仿宋" w:hint="eastAsia"/>
          <w:sz w:val="32"/>
          <w:szCs w:val="32"/>
        </w:rPr>
        <w:t>（三）一般</w:t>
      </w:r>
      <w:r>
        <w:rPr>
          <w:rFonts w:ascii="仿宋" w:eastAsia="仿宋" w:hAnsi="仿宋"/>
          <w:sz w:val="32"/>
          <w:szCs w:val="32"/>
        </w:rPr>
        <w:t>公共预算拨款</w:t>
      </w:r>
      <w:r>
        <w:rPr>
          <w:rFonts w:ascii="仿宋" w:eastAsia="仿宋" w:hAnsi="仿宋" w:hint="eastAsia"/>
          <w:sz w:val="32"/>
          <w:szCs w:val="32"/>
        </w:rPr>
        <w:t>支出</w:t>
      </w:r>
      <w:r>
        <w:rPr>
          <w:rFonts w:ascii="仿宋" w:eastAsia="仿宋" w:hAnsi="仿宋"/>
          <w:sz w:val="32"/>
          <w:szCs w:val="32"/>
        </w:rPr>
        <w:t>明细情况</w:t>
      </w:r>
      <w:r>
        <w:rPr>
          <w:rFonts w:ascii="仿宋" w:eastAsia="仿宋" w:hAnsi="仿宋" w:hint="eastAsia"/>
          <w:sz w:val="32"/>
          <w:szCs w:val="32"/>
        </w:rPr>
        <w:t>。</w:t>
      </w:r>
    </w:p>
    <w:p w:rsidR="006245E0" w:rsidRDefault="00BA3602">
      <w:pPr>
        <w:ind w:firstLineChars="200" w:firstLine="640"/>
        <w:rPr>
          <w:rFonts w:ascii="仿宋" w:eastAsia="仿宋" w:hAnsi="仿宋"/>
          <w:sz w:val="32"/>
          <w:szCs w:val="32"/>
        </w:rPr>
      </w:pPr>
      <w:r>
        <w:rPr>
          <w:rFonts w:ascii="仿宋" w:eastAsia="仿宋" w:hAnsi="仿宋" w:hint="eastAsia"/>
          <w:sz w:val="32"/>
          <w:szCs w:val="32"/>
        </w:rPr>
        <w:t>1、一般</w:t>
      </w:r>
      <w:r>
        <w:rPr>
          <w:rFonts w:ascii="仿宋" w:eastAsia="仿宋" w:hAnsi="仿宋"/>
          <w:sz w:val="32"/>
          <w:szCs w:val="32"/>
        </w:rPr>
        <w:t>公共预算</w:t>
      </w:r>
      <w:r>
        <w:rPr>
          <w:rFonts w:ascii="仿宋" w:eastAsia="仿宋" w:hAnsi="仿宋" w:hint="eastAsia"/>
          <w:sz w:val="32"/>
          <w:szCs w:val="32"/>
        </w:rPr>
        <w:t>当</w:t>
      </w:r>
      <w:r>
        <w:rPr>
          <w:rFonts w:ascii="仿宋" w:eastAsia="仿宋" w:hAnsi="仿宋"/>
          <w:sz w:val="32"/>
          <w:szCs w:val="32"/>
        </w:rPr>
        <w:t>年拨款规模变化情况</w:t>
      </w:r>
      <w:r>
        <w:rPr>
          <w:rFonts w:ascii="仿宋" w:eastAsia="仿宋" w:hAnsi="仿宋" w:hint="eastAsia"/>
          <w:sz w:val="32"/>
          <w:szCs w:val="32"/>
        </w:rPr>
        <w:t>。</w:t>
      </w:r>
    </w:p>
    <w:p w:rsidR="006245E0" w:rsidRDefault="00BA3602">
      <w:pPr>
        <w:ind w:firstLine="640"/>
        <w:rPr>
          <w:rFonts w:ascii="仿宋" w:eastAsia="仿宋" w:hAnsi="仿宋"/>
          <w:sz w:val="32"/>
          <w:szCs w:val="32"/>
        </w:rPr>
      </w:pPr>
      <w:r>
        <w:rPr>
          <w:rFonts w:ascii="仿宋" w:eastAsia="仿宋" w:hAnsi="仿宋" w:hint="eastAsia"/>
          <w:sz w:val="32"/>
          <w:szCs w:val="32"/>
        </w:rPr>
        <w:t>本年度财政收支拨款244.33万元，较上年预算减少115.53万元，主要是退休人员养老金剥离本单位。</w:t>
      </w:r>
    </w:p>
    <w:p w:rsidR="006245E0" w:rsidRDefault="00BA3602">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支出</w:t>
      </w:r>
      <w:r>
        <w:rPr>
          <w:rFonts w:ascii="仿宋" w:eastAsia="仿宋" w:hAnsi="仿宋"/>
          <w:sz w:val="32"/>
          <w:szCs w:val="32"/>
        </w:rPr>
        <w:t>按功能科目分类的明细情况</w:t>
      </w:r>
      <w:r>
        <w:rPr>
          <w:rFonts w:ascii="仿宋" w:eastAsia="仿宋" w:hAnsi="仿宋" w:hint="eastAsia"/>
          <w:sz w:val="32"/>
          <w:szCs w:val="32"/>
        </w:rPr>
        <w:t>。</w:t>
      </w:r>
    </w:p>
    <w:p w:rsidR="006245E0" w:rsidRDefault="00BA3602">
      <w:pPr>
        <w:ind w:firstLineChars="200" w:firstLine="640"/>
        <w:rPr>
          <w:rFonts w:ascii="仿宋" w:eastAsia="仿宋" w:hAnsi="仿宋"/>
          <w:sz w:val="32"/>
          <w:szCs w:val="32"/>
        </w:rPr>
      </w:pPr>
      <w:r>
        <w:rPr>
          <w:rFonts w:ascii="仿宋" w:eastAsia="仿宋" w:hAnsi="仿宋" w:hint="eastAsia"/>
          <w:sz w:val="32"/>
          <w:szCs w:val="32"/>
        </w:rPr>
        <w:t>（1）人员经费和公用经费基本支出237.33万元，较上年减少115.53万元，主要原因为退休人员工资剥离单位预算和单位退休人员增加人头经费减少。</w:t>
      </w:r>
    </w:p>
    <w:p w:rsidR="006245E0" w:rsidRDefault="00BA3602">
      <w:pPr>
        <w:ind w:firstLineChars="200" w:firstLine="640"/>
        <w:rPr>
          <w:rFonts w:ascii="仿宋" w:eastAsia="仿宋" w:hAnsi="仿宋"/>
          <w:sz w:val="32"/>
          <w:szCs w:val="32"/>
        </w:rPr>
      </w:pPr>
      <w:r>
        <w:rPr>
          <w:rFonts w:ascii="仿宋" w:eastAsia="仿宋" w:hAnsi="仿宋" w:hint="eastAsia"/>
          <w:sz w:val="32"/>
          <w:szCs w:val="32"/>
        </w:rPr>
        <w:t>我单位支出功能全部为行政运行支出。</w:t>
      </w:r>
    </w:p>
    <w:p w:rsidR="006245E0" w:rsidRDefault="00BA3602">
      <w:pPr>
        <w:numPr>
          <w:ilvl w:val="0"/>
          <w:numId w:val="3"/>
        </w:numPr>
        <w:ind w:firstLineChars="200" w:firstLine="640"/>
        <w:rPr>
          <w:rFonts w:ascii="仿宋" w:eastAsia="仿宋" w:hAnsi="仿宋"/>
          <w:sz w:val="32"/>
          <w:szCs w:val="32"/>
        </w:rPr>
      </w:pPr>
      <w:r>
        <w:rPr>
          <w:rFonts w:ascii="仿宋" w:eastAsia="仿宋" w:hAnsi="仿宋" w:hint="eastAsia"/>
          <w:sz w:val="32"/>
          <w:szCs w:val="32"/>
        </w:rPr>
        <w:t>专项业务经费支出7万元，与上年持平。其中：中小企业安全生产执法支出1万元；非公经济及规模工业企业培育经费支出5万元；县级国有企业资产日常监管支出1万元。</w:t>
      </w:r>
    </w:p>
    <w:p w:rsidR="006245E0" w:rsidRDefault="00BA3602">
      <w:pPr>
        <w:ind w:firstLine="640"/>
        <w:rPr>
          <w:rFonts w:ascii="仿宋" w:eastAsia="仿宋" w:hAnsi="仿宋"/>
          <w:sz w:val="32"/>
          <w:szCs w:val="32"/>
        </w:rPr>
      </w:pPr>
      <w:r>
        <w:rPr>
          <w:rFonts w:ascii="仿宋" w:eastAsia="仿宋" w:hAnsi="仿宋" w:hint="eastAsia"/>
          <w:sz w:val="32"/>
          <w:szCs w:val="32"/>
        </w:rPr>
        <w:t>专项业务经费支出均为行政运行支出。</w:t>
      </w:r>
    </w:p>
    <w:p w:rsidR="006245E0" w:rsidRDefault="00E1634A">
      <w:pPr>
        <w:ind w:firstLine="640"/>
        <w:rPr>
          <w:rFonts w:ascii="仿宋" w:eastAsia="仿宋" w:hAnsi="仿宋"/>
          <w:sz w:val="32"/>
          <w:szCs w:val="32"/>
        </w:rPr>
      </w:pPr>
      <w:r w:rsidRPr="00E1634A">
        <w:rPr>
          <w:noProof/>
          <w:sz w:val="32"/>
        </w:rPr>
        <w:lastRenderedPageBreak/>
        <w:pict>
          <v:shapetype id="_x0000_t202" coordsize="21600,21600" o:spt="202" path="m,l,21600r21600,l21600,xe">
            <v:stroke joinstyle="miter"/>
            <v:path gradientshapeok="t" o:connecttype="rect"/>
          </v:shapetype>
          <v:shape id="文本框 9" o:spid="_x0000_s1026" type="#_x0000_t202" style="position:absolute;left:0;text-align:left;margin-left:327.7pt;margin-top:31.1pt;width:1in;height:2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" fillcolor="white [3201]" strokeweight=".5pt">
            <v:textbox>
              <w:txbxContent>
                <w:p w:rsidR="006245E0" w:rsidRDefault="00BA3602">
                  <w:pPr>
                    <w:rPr>
                      <w:rFonts w:ascii="仿宋_GB2312" w:eastAsia="仿宋_GB2312" w:hAnsi="仿宋_GB2312" w:cs="仿宋_GB2312"/>
                      <w:b/>
                      <w:bCs/>
                    </w:rPr>
                  </w:pPr>
                  <w:r>
                    <w:rPr>
                      <w:rFonts w:ascii="仿宋_GB2312" w:eastAsia="仿宋_GB2312" w:hAnsi="仿宋_GB2312" w:cs="仿宋_GB2312" w:hint="eastAsia"/>
                      <w:b/>
                      <w:bCs/>
                    </w:rPr>
                    <w:t>单位：万元</w:t>
                  </w:r>
                </w:p>
              </w:txbxContent>
            </v:textbox>
          </v:shape>
        </w:pict>
      </w:r>
      <w:r w:rsidR="00BA3602">
        <w:rPr>
          <w:rFonts w:ascii="仿宋" w:eastAsia="仿宋" w:hAnsi="仿宋" w:hint="eastAsia"/>
          <w:noProof/>
          <w:sz w:val="32"/>
          <w:szCs w:val="32"/>
        </w:rPr>
        <w:drawing>
          <wp:inline distT="0" distB="0" distL="114300" distR="114300">
            <wp:extent cx="5159375" cy="2547620"/>
            <wp:effectExtent l="4445" t="4445" r="17780" b="196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45E0" w:rsidRDefault="00E1634A">
      <w:pPr>
        <w:ind w:firstLine="640"/>
        <w:rPr>
          <w:rFonts w:ascii="仿宋" w:eastAsia="仿宋" w:hAnsi="仿宋"/>
          <w:sz w:val="32"/>
          <w:szCs w:val="32"/>
        </w:rPr>
      </w:pPr>
      <w:r w:rsidRPr="00E1634A">
        <w:rPr>
          <w:noProof/>
          <w:sz w:val="32"/>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28" type="#_x0000_t105" style="position:absolute;left:0;text-align:left;margin-left:166.35pt;margin-top:90.3pt;width:171.6pt;height:25.9pt;rotation:18;z-index:251659264;v-text-anchor:middle" o:gfxdata="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9m+pn9sAAAALAQAADwAAAAAAAAABACAAAAAiAAAAZHJzL2Rvd25yZXYueG1sUEsBAhQAFAAA&#10;AAgAh07iQKrg8HWXAgAA9QQAAA4AAAAAAAAAAQAgAAAAKgEAAGRycy9lMm9Eb2MueG1sUEsFBgAA&#10;AAAGAAYAWQEAADMGAAAAAA==&#10;" adj="19970,21193,16200" fillcolor="#5b9bd5 [3204]" strokecolor="#41719c" strokeweight="1pt"/>
        </w:pict>
      </w:r>
      <w:r w:rsidRPr="00E1634A">
        <w:rPr>
          <w:noProof/>
          <w:sz w:val="32"/>
        </w:rPr>
        <w:pict>
          <v:shape id="文本框 8" o:spid="_x0000_s1027" type="#_x0000_t202" style="position:absolute;left:0;text-align:left;margin-left:330.65pt;margin-top:51.7pt;width:74.7pt;height:22.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" fillcolor="white [3201]" strokeweight=".5pt">
            <v:textbox>
              <w:txbxContent>
                <w:p w:rsidR="006245E0" w:rsidRDefault="00BA3602">
                  <w:pPr>
                    <w:rPr>
                      <w:rFonts w:ascii="仿宋_GB2312" w:eastAsia="仿宋_GB2312" w:hAnsi="仿宋_GB2312" w:cs="仿宋_GB2312"/>
                      <w:b/>
                      <w:bCs/>
                    </w:rPr>
                  </w:pPr>
                  <w:r>
                    <w:rPr>
                      <w:rFonts w:ascii="仿宋_GB2312" w:eastAsia="仿宋_GB2312" w:hAnsi="仿宋_GB2312" w:cs="仿宋_GB2312" w:hint="eastAsia"/>
                      <w:b/>
                      <w:bCs/>
                    </w:rPr>
                    <w:t>单位：万元</w:t>
                  </w:r>
                </w:p>
              </w:txbxContent>
            </v:textbox>
          </v:shape>
        </w:pict>
      </w:r>
      <w:r w:rsidR="00BA3602">
        <w:rPr>
          <w:rFonts w:ascii="仿宋" w:eastAsia="仿宋" w:hAnsi="仿宋" w:hint="eastAsia"/>
          <w:noProof/>
          <w:sz w:val="32"/>
          <w:szCs w:val="32"/>
        </w:rPr>
        <w:drawing>
          <wp:anchor distT="0" distB="0" distL="114300" distR="114300" simplePos="0" relativeHeight="251658240" behindDoc="0" locked="0" layoutInCell="1" allowOverlap="1">
            <wp:simplePos x="0" y="0"/>
            <wp:positionH relativeFrom="column">
              <wp:posOffset>572135</wp:posOffset>
            </wp:positionH>
            <wp:positionV relativeFrom="paragraph">
              <wp:posOffset>316230</wp:posOffset>
            </wp:positionV>
            <wp:extent cx="4806315" cy="3255645"/>
            <wp:effectExtent l="4445" t="4445" r="8890" b="1651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245E0" w:rsidRDefault="00BA3602">
      <w:pPr>
        <w:numPr>
          <w:ilvl w:val="0"/>
          <w:numId w:val="2"/>
        </w:numPr>
        <w:ind w:firstLine="640"/>
        <w:rPr>
          <w:rFonts w:ascii="仿宋" w:eastAsia="仿宋" w:hAnsi="仿宋"/>
          <w:sz w:val="32"/>
          <w:szCs w:val="32"/>
        </w:rPr>
      </w:pPr>
      <w:r>
        <w:rPr>
          <w:rFonts w:ascii="仿宋" w:eastAsia="仿宋" w:hAnsi="仿宋" w:hint="eastAsia"/>
          <w:sz w:val="32"/>
          <w:szCs w:val="32"/>
        </w:rPr>
        <w:t>支出按经济科目分类明细情况</w:t>
      </w:r>
    </w:p>
    <w:p w:rsidR="006245E0" w:rsidRDefault="00BA3602">
      <w:pPr>
        <w:rPr>
          <w:rFonts w:ascii="仿宋" w:eastAsia="仿宋" w:hAnsi="仿宋"/>
          <w:sz w:val="32"/>
          <w:szCs w:val="32"/>
        </w:rPr>
      </w:pPr>
      <w:r>
        <w:rPr>
          <w:rFonts w:ascii="仿宋" w:eastAsia="仿宋" w:hAnsi="仿宋" w:hint="eastAsia"/>
          <w:sz w:val="32"/>
          <w:szCs w:val="32"/>
        </w:rPr>
        <w:t xml:space="preserve">    （1）人员经费和公用经费支出237.33万元，其中人员经费支出226.8万元，较上年减少114.73万元；公用经费9.6万元，较上年减少0.8万元；对个人和家庭补助0.93万元，较上年持平。一般公共预算当年拨款人员经费和公用经费较上年减少</w:t>
      </w:r>
      <w:r>
        <w:rPr>
          <w:rFonts w:ascii="仿宋" w:eastAsia="仿宋" w:hAnsi="仿宋" w:hint="eastAsia"/>
          <w:sz w:val="32"/>
          <w:szCs w:val="32"/>
        </w:rPr>
        <w:lastRenderedPageBreak/>
        <w:t>115.53万元，主要原因是退休人员剥离本单位和单位退休人员增加导致的公用经费减少。</w:t>
      </w:r>
    </w:p>
    <w:p w:rsidR="006245E0" w:rsidRDefault="00BA3602">
      <w:pPr>
        <w:rPr>
          <w:rFonts w:ascii="仿宋" w:eastAsia="仿宋" w:hAnsi="仿宋"/>
          <w:sz w:val="32"/>
          <w:szCs w:val="32"/>
        </w:rPr>
      </w:pPr>
      <w:r>
        <w:rPr>
          <w:rFonts w:ascii="仿宋" w:eastAsia="仿宋" w:hAnsi="仿宋" w:hint="eastAsia"/>
          <w:sz w:val="32"/>
          <w:szCs w:val="32"/>
        </w:rPr>
        <w:t xml:space="preserve">    （2）专项经费支出7万元，较上年持平。</w:t>
      </w:r>
    </w:p>
    <w:p w:rsidR="006245E0" w:rsidRDefault="00BA3602">
      <w:pPr>
        <w:ind w:firstLineChars="200" w:firstLine="640"/>
        <w:rPr>
          <w:rFonts w:ascii="仿宋" w:eastAsia="仿宋" w:hAnsi="仿宋"/>
          <w:sz w:val="32"/>
          <w:szCs w:val="32"/>
        </w:rPr>
      </w:pPr>
      <w:r>
        <w:rPr>
          <w:rFonts w:ascii="仿宋" w:eastAsia="仿宋" w:hAnsi="仿宋" w:hint="eastAsia"/>
          <w:sz w:val="32"/>
          <w:szCs w:val="32"/>
        </w:rPr>
        <w:t>（四）政府</w:t>
      </w:r>
      <w:r>
        <w:rPr>
          <w:rFonts w:ascii="仿宋" w:eastAsia="仿宋" w:hAnsi="仿宋"/>
          <w:sz w:val="32"/>
          <w:szCs w:val="32"/>
        </w:rPr>
        <w:t>性基金预算支出情况</w:t>
      </w:r>
      <w:r>
        <w:rPr>
          <w:rFonts w:ascii="仿宋" w:eastAsia="仿宋" w:hAnsi="仿宋" w:hint="eastAsia"/>
          <w:sz w:val="32"/>
          <w:szCs w:val="32"/>
        </w:rPr>
        <w:t>。</w:t>
      </w:r>
    </w:p>
    <w:p w:rsidR="006245E0" w:rsidRDefault="00BA3602">
      <w:pPr>
        <w:ind w:firstLineChars="200" w:firstLine="640"/>
        <w:rPr>
          <w:rFonts w:ascii="仿宋" w:eastAsia="仿宋" w:hAnsi="仿宋"/>
          <w:sz w:val="32"/>
          <w:szCs w:val="32"/>
        </w:rPr>
      </w:pPr>
      <w:r>
        <w:rPr>
          <w:rFonts w:ascii="仿宋" w:eastAsia="仿宋" w:hAnsi="仿宋" w:hint="eastAsia"/>
          <w:sz w:val="32"/>
          <w:szCs w:val="32"/>
        </w:rPr>
        <w:t>本</w:t>
      </w:r>
      <w:r>
        <w:rPr>
          <w:rFonts w:ascii="仿宋" w:eastAsia="仿宋" w:hAnsi="仿宋"/>
          <w:sz w:val="32"/>
          <w:szCs w:val="32"/>
        </w:rPr>
        <w:t>部门无政府性基金预算收支</w:t>
      </w:r>
      <w:r>
        <w:rPr>
          <w:rFonts w:ascii="仿宋" w:eastAsia="仿宋" w:hAnsi="仿宋" w:hint="eastAsia"/>
          <w:sz w:val="32"/>
          <w:szCs w:val="32"/>
        </w:rPr>
        <w:t>，并</w:t>
      </w:r>
      <w:r>
        <w:rPr>
          <w:rFonts w:ascii="仿宋" w:eastAsia="仿宋" w:hAnsi="仿宋"/>
          <w:sz w:val="32"/>
          <w:szCs w:val="32"/>
        </w:rPr>
        <w:t>已</w:t>
      </w:r>
      <w:r>
        <w:rPr>
          <w:rFonts w:ascii="仿宋" w:eastAsia="仿宋" w:hAnsi="仿宋" w:hint="eastAsia"/>
          <w:sz w:val="32"/>
          <w:szCs w:val="32"/>
        </w:rPr>
        <w:t>公开</w:t>
      </w:r>
      <w:r>
        <w:rPr>
          <w:rFonts w:ascii="仿宋" w:eastAsia="仿宋" w:hAnsi="仿宋"/>
          <w:sz w:val="32"/>
          <w:szCs w:val="32"/>
        </w:rPr>
        <w:t>空表</w:t>
      </w:r>
      <w:r>
        <w:rPr>
          <w:rFonts w:ascii="仿宋" w:eastAsia="仿宋" w:hAnsi="仿宋" w:hint="eastAsia"/>
          <w:sz w:val="32"/>
          <w:szCs w:val="32"/>
        </w:rPr>
        <w:t>。</w:t>
      </w:r>
    </w:p>
    <w:p w:rsidR="006245E0" w:rsidRDefault="00BA3602">
      <w:pPr>
        <w:ind w:firstLineChars="200" w:firstLine="640"/>
        <w:rPr>
          <w:rFonts w:ascii="仿宋" w:eastAsia="仿宋" w:hAnsi="仿宋"/>
          <w:sz w:val="32"/>
          <w:szCs w:val="32"/>
        </w:rPr>
      </w:pPr>
      <w:r>
        <w:rPr>
          <w:rFonts w:ascii="仿宋" w:eastAsia="仿宋" w:hAnsi="仿宋" w:hint="eastAsia"/>
          <w:sz w:val="32"/>
          <w:szCs w:val="32"/>
        </w:rPr>
        <w:t>（五）国</w:t>
      </w:r>
      <w:r>
        <w:rPr>
          <w:rFonts w:ascii="仿宋" w:eastAsia="仿宋" w:hAnsi="仿宋"/>
          <w:sz w:val="32"/>
          <w:szCs w:val="32"/>
        </w:rPr>
        <w:t>有</w:t>
      </w:r>
      <w:r>
        <w:rPr>
          <w:rFonts w:ascii="仿宋" w:eastAsia="仿宋" w:hAnsi="仿宋" w:hint="eastAsia"/>
          <w:sz w:val="32"/>
          <w:szCs w:val="32"/>
        </w:rPr>
        <w:t>资本</w:t>
      </w:r>
      <w:r>
        <w:rPr>
          <w:rFonts w:ascii="仿宋" w:eastAsia="仿宋" w:hAnsi="仿宋"/>
          <w:sz w:val="32"/>
          <w:szCs w:val="32"/>
        </w:rPr>
        <w:t>经营预算拨款收支情况</w:t>
      </w:r>
      <w:r>
        <w:rPr>
          <w:rFonts w:ascii="仿宋" w:eastAsia="仿宋" w:hAnsi="仿宋" w:hint="eastAsia"/>
          <w:sz w:val="32"/>
          <w:szCs w:val="32"/>
        </w:rPr>
        <w:t>。</w:t>
      </w:r>
    </w:p>
    <w:p w:rsidR="006245E0" w:rsidRDefault="00BA3602">
      <w:pPr>
        <w:ind w:firstLineChars="200" w:firstLine="640"/>
        <w:rPr>
          <w:rFonts w:ascii="仿宋" w:eastAsia="仿宋" w:hAnsi="仿宋"/>
          <w:sz w:val="32"/>
          <w:szCs w:val="32"/>
        </w:rPr>
      </w:pPr>
      <w:r>
        <w:rPr>
          <w:rFonts w:ascii="仿宋" w:eastAsia="仿宋" w:hAnsi="仿宋" w:hint="eastAsia"/>
          <w:sz w:val="32"/>
          <w:szCs w:val="32"/>
        </w:rPr>
        <w:t>本</w:t>
      </w:r>
      <w:r>
        <w:rPr>
          <w:rFonts w:ascii="仿宋" w:eastAsia="仿宋" w:hAnsi="仿宋"/>
          <w:sz w:val="32"/>
          <w:szCs w:val="32"/>
        </w:rPr>
        <w:t>部门</w:t>
      </w:r>
      <w:r>
        <w:rPr>
          <w:rFonts w:ascii="仿宋" w:eastAsia="仿宋" w:hAnsi="仿宋" w:hint="eastAsia"/>
          <w:sz w:val="32"/>
          <w:szCs w:val="32"/>
        </w:rPr>
        <w:t>无国</w:t>
      </w:r>
      <w:r>
        <w:rPr>
          <w:rFonts w:ascii="仿宋" w:eastAsia="仿宋" w:hAnsi="仿宋"/>
          <w:sz w:val="32"/>
          <w:szCs w:val="32"/>
        </w:rPr>
        <w:t>有</w:t>
      </w:r>
      <w:r>
        <w:rPr>
          <w:rFonts w:ascii="仿宋" w:eastAsia="仿宋" w:hAnsi="仿宋" w:hint="eastAsia"/>
          <w:sz w:val="32"/>
          <w:szCs w:val="32"/>
        </w:rPr>
        <w:t>资本</w:t>
      </w:r>
      <w:r>
        <w:rPr>
          <w:rFonts w:ascii="仿宋" w:eastAsia="仿宋" w:hAnsi="仿宋"/>
          <w:sz w:val="32"/>
          <w:szCs w:val="32"/>
        </w:rPr>
        <w:t>经营预算拨款收支</w:t>
      </w:r>
      <w:r>
        <w:rPr>
          <w:rFonts w:ascii="仿宋" w:eastAsia="仿宋" w:hAnsi="仿宋" w:hint="eastAsia"/>
          <w:sz w:val="32"/>
          <w:szCs w:val="32"/>
        </w:rPr>
        <w:t>。</w:t>
      </w:r>
    </w:p>
    <w:p w:rsidR="006245E0" w:rsidRDefault="00BA3602">
      <w:pPr>
        <w:numPr>
          <w:ilvl w:val="0"/>
          <w:numId w:val="4"/>
        </w:num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公</w:t>
      </w:r>
      <w:r>
        <w:rPr>
          <w:rFonts w:ascii="仿宋" w:eastAsia="仿宋" w:hAnsi="仿宋" w:hint="eastAsia"/>
          <w:sz w:val="32"/>
          <w:szCs w:val="32"/>
        </w:rPr>
        <w:t>”经</w:t>
      </w:r>
      <w:r>
        <w:rPr>
          <w:rFonts w:ascii="仿宋" w:eastAsia="仿宋" w:hAnsi="仿宋"/>
          <w:sz w:val="32"/>
          <w:szCs w:val="32"/>
        </w:rPr>
        <w:t>费等预算情况</w:t>
      </w:r>
      <w:r>
        <w:rPr>
          <w:rFonts w:ascii="仿宋" w:eastAsia="仿宋" w:hAnsi="仿宋" w:hint="eastAsia"/>
          <w:sz w:val="32"/>
          <w:szCs w:val="32"/>
        </w:rPr>
        <w:t>。</w:t>
      </w:r>
    </w:p>
    <w:p w:rsidR="006245E0" w:rsidRDefault="00BA3602">
      <w:pPr>
        <w:ind w:firstLineChars="200" w:firstLine="640"/>
        <w:rPr>
          <w:rFonts w:ascii="仿宋" w:eastAsia="仿宋" w:hAnsi="仿宋"/>
          <w:sz w:val="32"/>
          <w:szCs w:val="32"/>
        </w:rPr>
      </w:pPr>
      <w:r>
        <w:rPr>
          <w:rFonts w:ascii="仿宋" w:eastAsia="仿宋" w:hAnsi="仿宋" w:hint="eastAsia"/>
          <w:sz w:val="32"/>
          <w:szCs w:val="32"/>
        </w:rPr>
        <w:t>本年度财政拨款“三公”经费安排支出1万元，压缩79.36%，其中因公出国（境）费用0元；公务接待费用1万元，较上年减少0.4万元；公务用车运行维护费0元，较上年减少4.9万元。会议培训费1.4万元，较上年增加1.4万元。“三公”经费减少原因是公车改革目前我单位无公务用车，此外单位严格开展内部控制建设，完善各项管理制度，强化约束；严格执行中央八项目规定，厉行节约。会议费增加原因是今年计划开展企业上市专项培训增加。</w:t>
      </w:r>
    </w:p>
    <w:p w:rsidR="006245E0" w:rsidRDefault="00BA3602">
      <w:pPr>
        <w:numPr>
          <w:ilvl w:val="0"/>
          <w:numId w:val="4"/>
        </w:numPr>
        <w:ind w:firstLineChars="200" w:firstLine="640"/>
        <w:rPr>
          <w:rFonts w:ascii="仿宋" w:eastAsia="仿宋" w:hAnsi="仿宋"/>
          <w:sz w:val="32"/>
          <w:szCs w:val="32"/>
        </w:rPr>
      </w:pPr>
      <w:r>
        <w:rPr>
          <w:rFonts w:ascii="仿宋" w:eastAsia="仿宋" w:hAnsi="仿宋" w:hint="eastAsia"/>
          <w:sz w:val="32"/>
          <w:szCs w:val="32"/>
        </w:rPr>
        <w:t>机</w:t>
      </w:r>
      <w:r>
        <w:rPr>
          <w:rFonts w:ascii="仿宋" w:eastAsia="仿宋" w:hAnsi="仿宋"/>
          <w:sz w:val="32"/>
          <w:szCs w:val="32"/>
        </w:rPr>
        <w:t>关运行经费安排情况</w:t>
      </w:r>
      <w:r>
        <w:rPr>
          <w:rFonts w:ascii="仿宋" w:eastAsia="仿宋" w:hAnsi="仿宋" w:hint="eastAsia"/>
          <w:sz w:val="32"/>
          <w:szCs w:val="32"/>
        </w:rPr>
        <w:t xml:space="preserve">。   </w:t>
      </w:r>
    </w:p>
    <w:p w:rsidR="006245E0" w:rsidRDefault="00BA3602">
      <w:pPr>
        <w:ind w:firstLineChars="200" w:firstLine="640"/>
        <w:rPr>
          <w:rFonts w:ascii="仿宋" w:eastAsia="仿宋" w:hAnsi="仿宋"/>
          <w:sz w:val="32"/>
          <w:szCs w:val="32"/>
        </w:rPr>
      </w:pPr>
      <w:r>
        <w:rPr>
          <w:rFonts w:ascii="仿宋" w:eastAsia="仿宋" w:hAnsi="仿宋" w:hint="eastAsia"/>
          <w:sz w:val="32"/>
          <w:szCs w:val="32"/>
        </w:rPr>
        <w:t>2018年本部门机关运行经费财政拨款预算17.53万元，较上年减少0.8万元，下降原因是退休人员增加在岗人员数量减少导致的统计口径变化。</w:t>
      </w:r>
    </w:p>
    <w:p w:rsidR="006245E0" w:rsidRDefault="00BA3602">
      <w:pPr>
        <w:ind w:firstLineChars="200" w:firstLine="640"/>
        <w:rPr>
          <w:rFonts w:ascii="仿宋" w:eastAsia="仿宋" w:hAnsi="仿宋"/>
          <w:sz w:val="32"/>
          <w:szCs w:val="32"/>
        </w:rPr>
      </w:pPr>
      <w:r>
        <w:rPr>
          <w:rFonts w:ascii="仿宋" w:eastAsia="仿宋" w:hAnsi="仿宋" w:hint="eastAsia"/>
          <w:sz w:val="32"/>
          <w:szCs w:val="32"/>
        </w:rPr>
        <w:t>（八）政府</w:t>
      </w:r>
      <w:r>
        <w:rPr>
          <w:rFonts w:ascii="仿宋" w:eastAsia="仿宋" w:hAnsi="仿宋"/>
          <w:sz w:val="32"/>
          <w:szCs w:val="32"/>
        </w:rPr>
        <w:t>采购情况</w:t>
      </w:r>
      <w:r>
        <w:rPr>
          <w:rFonts w:ascii="仿宋" w:eastAsia="仿宋" w:hAnsi="仿宋" w:hint="eastAsia"/>
          <w:sz w:val="32"/>
          <w:szCs w:val="32"/>
        </w:rPr>
        <w:t>。</w:t>
      </w:r>
    </w:p>
    <w:p w:rsidR="006245E0" w:rsidRDefault="00BA3602">
      <w:pPr>
        <w:ind w:firstLineChars="200" w:firstLine="640"/>
        <w:rPr>
          <w:rFonts w:ascii="仿宋" w:eastAsia="仿宋" w:hAnsi="仿宋"/>
          <w:sz w:val="32"/>
          <w:szCs w:val="32"/>
        </w:rPr>
      </w:pPr>
      <w:r>
        <w:rPr>
          <w:rFonts w:ascii="仿宋" w:eastAsia="仿宋" w:hAnsi="仿宋" w:hint="eastAsia"/>
          <w:sz w:val="32"/>
          <w:szCs w:val="32"/>
        </w:rPr>
        <w:t>本</w:t>
      </w:r>
      <w:r>
        <w:rPr>
          <w:rFonts w:ascii="仿宋" w:eastAsia="仿宋" w:hAnsi="仿宋"/>
          <w:sz w:val="32"/>
          <w:szCs w:val="32"/>
        </w:rPr>
        <w:t>部门</w:t>
      </w:r>
      <w:r>
        <w:rPr>
          <w:rFonts w:ascii="仿宋" w:eastAsia="仿宋" w:hAnsi="仿宋" w:hint="eastAsia"/>
          <w:sz w:val="32"/>
          <w:szCs w:val="32"/>
        </w:rPr>
        <w:t>2018年</w:t>
      </w:r>
      <w:r>
        <w:rPr>
          <w:rFonts w:ascii="仿宋" w:eastAsia="仿宋" w:hAnsi="仿宋"/>
          <w:sz w:val="32"/>
          <w:szCs w:val="32"/>
        </w:rPr>
        <w:t>无政府采购预算</w:t>
      </w:r>
      <w:r>
        <w:rPr>
          <w:rFonts w:ascii="仿宋" w:eastAsia="仿宋" w:hAnsi="仿宋" w:hint="eastAsia"/>
          <w:sz w:val="32"/>
          <w:szCs w:val="32"/>
        </w:rPr>
        <w:t>，并</w:t>
      </w:r>
      <w:r>
        <w:rPr>
          <w:rFonts w:ascii="仿宋" w:eastAsia="仿宋" w:hAnsi="仿宋"/>
          <w:sz w:val="32"/>
          <w:szCs w:val="32"/>
        </w:rPr>
        <w:t>已公开空表</w:t>
      </w:r>
      <w:r>
        <w:rPr>
          <w:rFonts w:ascii="仿宋" w:eastAsia="仿宋" w:hAnsi="仿宋" w:hint="eastAsia"/>
          <w:sz w:val="32"/>
          <w:szCs w:val="32"/>
        </w:rPr>
        <w:t>。</w:t>
      </w:r>
    </w:p>
    <w:p w:rsidR="006245E0" w:rsidRDefault="00BA3602">
      <w:pPr>
        <w:ind w:firstLineChars="200" w:firstLine="640"/>
        <w:rPr>
          <w:rFonts w:ascii="黑体" w:eastAsia="黑体" w:hAnsi="黑体"/>
          <w:sz w:val="32"/>
          <w:szCs w:val="32"/>
        </w:rPr>
      </w:pPr>
      <w:r>
        <w:rPr>
          <w:rFonts w:ascii="黑体" w:eastAsia="黑体" w:hAnsi="黑体" w:hint="eastAsia"/>
          <w:sz w:val="32"/>
          <w:szCs w:val="32"/>
        </w:rPr>
        <w:lastRenderedPageBreak/>
        <w:t>八、专业</w:t>
      </w:r>
      <w:r>
        <w:rPr>
          <w:rFonts w:ascii="黑体" w:eastAsia="黑体" w:hAnsi="黑体"/>
          <w:sz w:val="32"/>
          <w:szCs w:val="32"/>
        </w:rPr>
        <w:t>名词解释</w:t>
      </w:r>
    </w:p>
    <w:p w:rsidR="006245E0" w:rsidRDefault="00BA3602">
      <w:pPr>
        <w:ind w:firstLineChars="200" w:firstLine="640"/>
        <w:rPr>
          <w:rFonts w:ascii="仿宋" w:eastAsia="仿宋" w:hAnsi="仿宋"/>
          <w:sz w:val="32"/>
          <w:szCs w:val="32"/>
        </w:rPr>
      </w:pPr>
      <w:r>
        <w:rPr>
          <w:rFonts w:ascii="仿宋" w:eastAsia="仿宋" w:hAnsi="仿宋" w:hint="eastAsia"/>
          <w:sz w:val="32"/>
          <w:szCs w:val="32"/>
        </w:rPr>
        <w:t>1、机关运行经费：指为保障行政单位运行用于购买货物和服务的各项公用经费，包括办公及印刷费、邮电费、差旅费、会议费、福利费、日常维修费、专用材料及办公用房水电费、办公用房取暖费、办公用房物业管理费、公务用车运行维护费以及其他费用。</w:t>
      </w:r>
    </w:p>
    <w:p w:rsidR="006245E0" w:rsidRDefault="00BA3602">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、“三</w:t>
      </w:r>
      <w:r>
        <w:rPr>
          <w:rFonts w:ascii="仿宋" w:eastAsia="仿宋" w:hAnsi="仿宋"/>
          <w:sz w:val="32"/>
          <w:szCs w:val="32"/>
        </w:rPr>
        <w:t>公</w:t>
      </w:r>
      <w:r>
        <w:rPr>
          <w:rFonts w:ascii="仿宋" w:eastAsia="仿宋" w:hAnsi="仿宋" w:hint="eastAsia"/>
          <w:sz w:val="32"/>
          <w:szCs w:val="32"/>
        </w:rPr>
        <w:t>”经</w:t>
      </w:r>
      <w:r>
        <w:rPr>
          <w:rFonts w:ascii="仿宋" w:eastAsia="仿宋" w:hAnsi="仿宋"/>
          <w:sz w:val="32"/>
          <w:szCs w:val="32"/>
        </w:rPr>
        <w:t>费</w:t>
      </w:r>
      <w:r>
        <w:rPr>
          <w:rFonts w:ascii="仿宋" w:eastAsia="仿宋" w:hAnsi="仿宋" w:hint="eastAsia"/>
          <w:sz w:val="32"/>
          <w:szCs w:val="32"/>
        </w:rPr>
        <w:t>：指财政拨款开支的出国（境）费用、公务接待费用、车辆购置及运行维护费用。</w:t>
      </w:r>
    </w:p>
    <w:p w:rsidR="006245E0" w:rsidRDefault="006245E0">
      <w:pPr>
        <w:ind w:firstLineChars="200" w:firstLine="640"/>
        <w:rPr>
          <w:rFonts w:ascii="仿宋" w:eastAsia="仿宋" w:hAnsi="仿宋"/>
          <w:sz w:val="32"/>
          <w:szCs w:val="32"/>
        </w:rPr>
      </w:pPr>
    </w:p>
    <w:p w:rsidR="006245E0" w:rsidRDefault="006245E0">
      <w:pPr>
        <w:ind w:firstLineChars="200" w:firstLine="640"/>
        <w:rPr>
          <w:rFonts w:ascii="仿宋" w:eastAsia="仿宋" w:hAnsi="仿宋"/>
          <w:sz w:val="32"/>
          <w:szCs w:val="32"/>
        </w:rPr>
      </w:pPr>
    </w:p>
    <w:p w:rsidR="006245E0" w:rsidRDefault="006245E0">
      <w:pPr>
        <w:ind w:firstLineChars="200" w:firstLine="640"/>
        <w:rPr>
          <w:rFonts w:ascii="仿宋" w:eastAsia="仿宋" w:hAnsi="仿宋"/>
          <w:sz w:val="32"/>
          <w:szCs w:val="32"/>
        </w:rPr>
      </w:pPr>
    </w:p>
    <w:p w:rsidR="006245E0" w:rsidRDefault="00BA3602">
      <w:pPr>
        <w:ind w:firstLineChars="200" w:firstLine="640"/>
        <w:rPr>
          <w:rFonts w:ascii="仿宋" w:eastAsia="仿宋" w:hAnsi="仿宋"/>
          <w:sz w:val="32"/>
          <w:szCs w:val="32"/>
        </w:rPr>
      </w:pPr>
      <w:r>
        <w:rPr>
          <w:rFonts w:ascii="仿宋" w:eastAsia="仿宋" w:hAnsi="仿宋" w:hint="eastAsia"/>
          <w:sz w:val="32"/>
          <w:szCs w:val="32"/>
        </w:rPr>
        <w:t xml:space="preserve">     镇</w:t>
      </w:r>
      <w:r>
        <w:rPr>
          <w:rFonts w:ascii="仿宋" w:eastAsia="仿宋" w:hAnsi="仿宋"/>
          <w:sz w:val="32"/>
          <w:szCs w:val="32"/>
        </w:rPr>
        <w:t>安县</w:t>
      </w:r>
      <w:r>
        <w:rPr>
          <w:rFonts w:ascii="仿宋" w:eastAsia="仿宋" w:hAnsi="仿宋" w:hint="eastAsia"/>
          <w:sz w:val="32"/>
          <w:szCs w:val="32"/>
        </w:rPr>
        <w:t>经济贸易局</w:t>
      </w:r>
    </w:p>
    <w:p w:rsidR="006245E0" w:rsidRDefault="00BA3602">
      <w:pPr>
        <w:ind w:firstLineChars="200" w:firstLine="640"/>
      </w:pPr>
      <w:r>
        <w:rPr>
          <w:rFonts w:ascii="仿宋" w:eastAsia="仿宋" w:hAnsi="仿宋" w:hint="eastAsia"/>
          <w:sz w:val="32"/>
          <w:szCs w:val="32"/>
        </w:rPr>
        <w:t xml:space="preserve">                               2018年</w:t>
      </w:r>
      <w:r>
        <w:rPr>
          <w:rFonts w:ascii="仿宋" w:eastAsia="仿宋" w:hAnsi="仿宋"/>
          <w:sz w:val="32"/>
          <w:szCs w:val="32"/>
        </w:rPr>
        <w:t>3</w:t>
      </w:r>
      <w:r>
        <w:rPr>
          <w:rFonts w:ascii="仿宋" w:eastAsia="仿宋" w:hAnsi="仿宋" w:hint="eastAsia"/>
          <w:sz w:val="32"/>
          <w:szCs w:val="32"/>
        </w:rPr>
        <w:t>月8日</w:t>
      </w:r>
    </w:p>
    <w:sectPr w:rsidR="006245E0" w:rsidSect="00E1634A">
      <w:footerReference w:type="default" r:id="rId11"/>
      <w:pgSz w:w="11906" w:h="16838"/>
      <w:pgMar w:top="1701" w:right="1474" w:bottom="1417"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68F" w:rsidRDefault="00B8668F">
      <w:r>
        <w:separator/>
      </w:r>
    </w:p>
  </w:endnote>
  <w:endnote w:type="continuationSeparator" w:id="1">
    <w:p w:rsidR="00B8668F" w:rsidRDefault="00B86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5E0" w:rsidRDefault="00E1634A">
    <w:pPr>
      <w:pStyle w:val="a3"/>
    </w:pPr>
    <w:r>
      <w:rPr>
        <w:noProof/>
      </w:rPr>
      <w:pict>
        <v:shapetype id="_x0000_t202" coordsize="21600,21600" o:spt="202" path="m,l,21600r21600,l21600,xe">
          <v:stroke joinstyle="miter"/>
          <v:path gradientshapeok="t" o:connecttype="rect"/>
        </v:shapetype>
        <v:shape id="文本框 3" o:spid="_x0000_s4097" type="#_x0000_t202" style="position:absolute;margin-left:196.8pt;margin-top:0;width:2in;height:2in;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245E0" w:rsidRDefault="00E1634A">
                <w:pPr>
                  <w:pStyle w:val="a3"/>
                  <w:rPr>
                    <w:rFonts w:eastAsia="宋体"/>
                    <w:sz w:val="28"/>
                    <w:szCs w:val="28"/>
                  </w:rPr>
                </w:pPr>
                <w:r>
                  <w:rPr>
                    <w:rFonts w:hint="eastAsia"/>
                    <w:sz w:val="28"/>
                    <w:szCs w:val="28"/>
                  </w:rPr>
                  <w:fldChar w:fldCharType="begin"/>
                </w:r>
                <w:r w:rsidR="00BA3602">
                  <w:rPr>
                    <w:rFonts w:hint="eastAsia"/>
                    <w:sz w:val="28"/>
                    <w:szCs w:val="28"/>
                  </w:rPr>
                  <w:instrText xml:space="preserve"> PAGE  \* MERGEFORMAT </w:instrText>
                </w:r>
                <w:r>
                  <w:rPr>
                    <w:rFonts w:hint="eastAsia"/>
                    <w:sz w:val="28"/>
                    <w:szCs w:val="28"/>
                  </w:rPr>
                  <w:fldChar w:fldCharType="separate"/>
                </w:r>
                <w:r w:rsidR="00DC3AD7">
                  <w:rPr>
                    <w:noProof/>
                    <w:sz w:val="28"/>
                    <w:szCs w:val="28"/>
                  </w:rPr>
                  <w:t>- 12 -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68F" w:rsidRDefault="00B8668F">
      <w:r>
        <w:separator/>
      </w:r>
    </w:p>
  </w:footnote>
  <w:footnote w:type="continuationSeparator" w:id="1">
    <w:p w:rsidR="00B8668F" w:rsidRDefault="00B86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FB6D6"/>
    <w:multiLevelType w:val="singleLevel"/>
    <w:tmpl w:val="169FB6D6"/>
    <w:lvl w:ilvl="0">
      <w:start w:val="1"/>
      <w:numFmt w:val="decimal"/>
      <w:suff w:val="nothing"/>
      <w:lvlText w:val="%1、"/>
      <w:lvlJc w:val="left"/>
    </w:lvl>
  </w:abstractNum>
  <w:abstractNum w:abstractNumId="1">
    <w:nsid w:val="4A126458"/>
    <w:multiLevelType w:val="singleLevel"/>
    <w:tmpl w:val="4A126458"/>
    <w:lvl w:ilvl="0">
      <w:start w:val="2"/>
      <w:numFmt w:val="decimal"/>
      <w:suff w:val="nothing"/>
      <w:lvlText w:val="（%1）"/>
      <w:lvlJc w:val="left"/>
    </w:lvl>
  </w:abstractNum>
  <w:abstractNum w:abstractNumId="2">
    <w:nsid w:val="681C5FA5"/>
    <w:multiLevelType w:val="singleLevel"/>
    <w:tmpl w:val="681C5FA5"/>
    <w:lvl w:ilvl="0">
      <w:start w:val="6"/>
      <w:numFmt w:val="chineseCounting"/>
      <w:suff w:val="nothing"/>
      <w:lvlText w:val="（%1）"/>
      <w:lvlJc w:val="left"/>
      <w:rPr>
        <w:rFonts w:hint="eastAsia"/>
      </w:rPr>
    </w:lvl>
  </w:abstractNum>
  <w:abstractNum w:abstractNumId="3">
    <w:nsid w:val="764CCAA4"/>
    <w:multiLevelType w:val="singleLevel"/>
    <w:tmpl w:val="764CCAA4"/>
    <w:lvl w:ilvl="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7128"/>
    <w:rsid w:val="000837EA"/>
    <w:rsid w:val="001D74F6"/>
    <w:rsid w:val="002943FE"/>
    <w:rsid w:val="002B6256"/>
    <w:rsid w:val="003B536E"/>
    <w:rsid w:val="003C166A"/>
    <w:rsid w:val="003C4027"/>
    <w:rsid w:val="00407128"/>
    <w:rsid w:val="00573A9B"/>
    <w:rsid w:val="006245E0"/>
    <w:rsid w:val="00766187"/>
    <w:rsid w:val="007F0518"/>
    <w:rsid w:val="0084325B"/>
    <w:rsid w:val="00995645"/>
    <w:rsid w:val="00997D05"/>
    <w:rsid w:val="009C052D"/>
    <w:rsid w:val="009E5533"/>
    <w:rsid w:val="00AC2797"/>
    <w:rsid w:val="00B26616"/>
    <w:rsid w:val="00B31D31"/>
    <w:rsid w:val="00B341C0"/>
    <w:rsid w:val="00B5324B"/>
    <w:rsid w:val="00B835F9"/>
    <w:rsid w:val="00B8668F"/>
    <w:rsid w:val="00BA3602"/>
    <w:rsid w:val="00BB4B6B"/>
    <w:rsid w:val="00BC51C8"/>
    <w:rsid w:val="00C0239A"/>
    <w:rsid w:val="00D11853"/>
    <w:rsid w:val="00DC3AD7"/>
    <w:rsid w:val="00DD17B9"/>
    <w:rsid w:val="00DF7608"/>
    <w:rsid w:val="00E1634A"/>
    <w:rsid w:val="00E1638F"/>
    <w:rsid w:val="00FA52FE"/>
    <w:rsid w:val="00FB3186"/>
    <w:rsid w:val="058C48D3"/>
    <w:rsid w:val="0638474F"/>
    <w:rsid w:val="1133152A"/>
    <w:rsid w:val="14D3778E"/>
    <w:rsid w:val="1A6E7657"/>
    <w:rsid w:val="1BC7784E"/>
    <w:rsid w:val="305E6BF6"/>
    <w:rsid w:val="307007C4"/>
    <w:rsid w:val="328316A8"/>
    <w:rsid w:val="332B7166"/>
    <w:rsid w:val="34D82E46"/>
    <w:rsid w:val="39664ED5"/>
    <w:rsid w:val="398510F8"/>
    <w:rsid w:val="3A0D0E72"/>
    <w:rsid w:val="3C450C34"/>
    <w:rsid w:val="43B51A05"/>
    <w:rsid w:val="455E7F42"/>
    <w:rsid w:val="471D4982"/>
    <w:rsid w:val="49724728"/>
    <w:rsid w:val="4FB03D7C"/>
    <w:rsid w:val="51C90A92"/>
    <w:rsid w:val="52121056"/>
    <w:rsid w:val="609414E8"/>
    <w:rsid w:val="62CC0C76"/>
    <w:rsid w:val="630F6396"/>
    <w:rsid w:val="63BD0ACD"/>
    <w:rsid w:val="647C6FBC"/>
    <w:rsid w:val="65681190"/>
    <w:rsid w:val="6978641F"/>
    <w:rsid w:val="69CB573E"/>
    <w:rsid w:val="6E5B60FE"/>
    <w:rsid w:val="739404A2"/>
    <w:rsid w:val="77575C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Table Subtle 2" w:semiHidden="0" w:unhideWhenUsed="0"/>
    <w:lsdException w:name="Table Web 3" w:semiHidden="0" w:unhideWhenUsed="0"/>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4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1634A"/>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E163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39"/>
    <w:qFormat/>
    <w:rsid w:val="00E16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1634A"/>
    <w:pPr>
      <w:ind w:firstLineChars="200" w:firstLine="420"/>
    </w:pPr>
    <w:rPr>
      <w:rFonts w:asciiTheme="minorHAnsi" w:eastAsiaTheme="minorEastAsia" w:hAnsiTheme="minorHAnsi" w:cstheme="minorBidi"/>
    </w:rPr>
  </w:style>
  <w:style w:type="character" w:customStyle="1" w:styleId="Char0">
    <w:name w:val="页眉 Char"/>
    <w:basedOn w:val="a0"/>
    <w:link w:val="a4"/>
    <w:uiPriority w:val="99"/>
    <w:qFormat/>
    <w:rsid w:val="00E1634A"/>
    <w:rPr>
      <w:sz w:val="18"/>
      <w:szCs w:val="18"/>
    </w:rPr>
  </w:style>
  <w:style w:type="character" w:customStyle="1" w:styleId="Char">
    <w:name w:val="页脚 Char"/>
    <w:basedOn w:val="a0"/>
    <w:link w:val="a3"/>
    <w:uiPriority w:val="99"/>
    <w:qFormat/>
    <w:rsid w:val="00E1634A"/>
    <w:rPr>
      <w:sz w:val="18"/>
      <w:szCs w:val="18"/>
    </w:rPr>
  </w:style>
</w:styles>
</file>

<file path=word/webSettings.xml><?xml version="1.0" encoding="utf-8"?>
<w:webSettings xmlns:r="http://schemas.openxmlformats.org/officeDocument/2006/relationships" xmlns:w="http://schemas.openxmlformats.org/wordprocessingml/2006/main">
  <w:divs>
    <w:div w:id="1226603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t>镇安县经济贸易局单位人员分布图</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3A5-4825-ACDC-21878B7BB51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3A5-4825-ACDC-21878B7BB51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3A5-4825-ACDC-21878B7BB511}"/>
              </c:ext>
            </c:extLst>
          </c:dPt>
          <c:dLbls>
            <c:dLbl>
              <c:idx val="0"/>
              <c:layout>
                <c:manualLayout>
                  <c:x val="-0.12747165718280801"/>
                  <c:y val="4.4499750921464715E-2"/>
                </c:manualLayout>
              </c:layout>
              <c:tx>
                <c:rich>
                  <a:bodyPr rot="0" spcFirstLastPara="0" vertOverflow="ellipsis" vert="horz" wrap="square" lIns="38100" tIns="19050" rIns="38100" bIns="19050" anchor="ctr" anchorCtr="1"/>
                  <a:lstStyle/>
                  <a:p>
                    <a:pPr defTabSz="914400">
                      <a:defRPr lang="zh-CN" sz="800" b="1" i="0" u="none" strike="noStrike" kern="1200" baseline="0">
                        <a:solidFill>
                          <a:schemeClr val="tx1">
                            <a:lumMod val="75000"/>
                            <a:lumOff val="25000"/>
                          </a:schemeClr>
                        </a:solidFill>
                        <a:latin typeface="+mn-lt"/>
                        <a:ea typeface="+mn-ea"/>
                        <a:cs typeface="+mn-cs"/>
                      </a:defRPr>
                    </a:pPr>
                    <a:r>
                      <a:rPr lang="zh-CN" altLang="en-US" sz="800" b="1"/>
                      <a:t>在职行政人员</a:t>
                    </a:r>
                    <a:r>
                      <a:rPr lang="en-US" altLang="zh-CN" sz="800" b="1"/>
                      <a:t>22</a:t>
                    </a:r>
                    <a:r>
                      <a:rPr lang="zh-CN" altLang="en-US" sz="800" b="1"/>
                      <a:t>人</a:t>
                    </a:r>
                    <a:r>
                      <a:rPr lang="en-US" altLang="zh-CN" sz="800" b="1"/>
                      <a:t>, 42%</a:t>
                    </a:r>
                  </a:p>
                </c:rich>
              </c:tx>
              <c:spPr>
                <a:noFill/>
                <a:ln>
                  <a:noFill/>
                </a:ln>
                <a:effectLst/>
              </c:spPr>
              <c:dLblPos val="bestFit"/>
              <c:showCatName val="1"/>
              <c:showPercent val="1"/>
              <c:separator>
</c:separator>
              <c:extLst xmlns:c16r2="http://schemas.microsoft.com/office/drawing/2015/06/chart">
                <c:ext xmlns:c15="http://schemas.microsoft.com/office/drawing/2012/chart" uri="{CE6537A1-D6FC-4f65-9D91-7224C49458BB}">
                  <c15:layout>
                    <c:manualLayout>
                      <c:w val="0.26504279131007202"/>
                      <c:h val="0.138406537282942"/>
                    </c:manualLayout>
                  </c15:layout>
                </c:ext>
                <c:ext xmlns:c16="http://schemas.microsoft.com/office/drawing/2014/chart" uri="{C3380CC4-5D6E-409C-BE32-E72D297353CC}">
                  <c16:uniqueId val="{00000001-83A5-4825-ACDC-21878B7BB511}"/>
                </c:ext>
              </c:extLst>
            </c:dLbl>
            <c:dLbl>
              <c:idx val="1"/>
              <c:layout>
                <c:manualLayout>
                  <c:x val="0.16258450188841403"/>
                  <c:y val="-5.7137729230046251E-2"/>
                </c:manualLayout>
              </c:layout>
              <c:tx>
                <c:rich>
                  <a:bodyPr/>
                  <a:lstStyle/>
                  <a:p>
                    <a:r>
                      <a:rPr lang="zh-CN" altLang="en-US" sz="800" b="1"/>
                      <a:t>退休人员</a:t>
                    </a:r>
                    <a:r>
                      <a:rPr lang="en-US" altLang="zh-CN" sz="800" b="1"/>
                      <a:t>28</a:t>
                    </a:r>
                    <a:r>
                      <a:rPr lang="zh-CN" altLang="en-US" sz="800" b="1"/>
                      <a:t>人</a:t>
                    </a:r>
                    <a:r>
                      <a:rPr lang="en-US" altLang="zh-CN" sz="800" b="1"/>
                      <a:t>, 54%</a:t>
                    </a:r>
                  </a:p>
                </c:rich>
              </c:tx>
              <c:dLblPos val="bestFit"/>
              <c:showCatName val="1"/>
              <c:showPercent val="1"/>
              <c:separator>
</c:separator>
              <c:extLst xmlns:c16r2="http://schemas.microsoft.com/office/drawing/2015/06/chart">
                <c:ext xmlns:c15="http://schemas.microsoft.com/office/drawing/2012/chart" uri="{CE6537A1-D6FC-4f65-9D91-7224C49458BB}">
                  <c15:layout>
                    <c:manualLayout>
                      <c:w val="0.236208031599737"/>
                      <c:h val="0.15117466802860099"/>
                    </c:manualLayout>
                  </c15:layout>
                </c:ext>
                <c:ext xmlns:c16="http://schemas.microsoft.com/office/drawing/2014/chart" uri="{C3380CC4-5D6E-409C-BE32-E72D297353CC}">
                  <c16:uniqueId val="{00000003-83A5-4825-ACDC-21878B7BB511}"/>
                </c:ext>
              </c:extLst>
            </c:dLbl>
            <c:dLbl>
              <c:idx val="2"/>
              <c:layout>
                <c:manualLayout>
                  <c:x val="3.3131317593962921E-2"/>
                  <c:y val="0.11753326924125806"/>
                </c:manualLayout>
              </c:layout>
              <c:tx>
                <c:rich>
                  <a:bodyPr rot="0" spcFirstLastPara="0" vertOverflow="ellipsis" vert="horz" wrap="square" lIns="38100" tIns="19050" rIns="38100" bIns="19050" anchor="ctr" anchorCtr="1"/>
                  <a:lstStyle/>
                  <a:p>
                    <a:pPr defTabSz="914400">
                      <a:defRPr lang="zh-CN" sz="800" b="1" i="0" u="none" strike="noStrike" kern="1200" baseline="0">
                        <a:solidFill>
                          <a:schemeClr val="tx1">
                            <a:lumMod val="75000"/>
                            <a:lumOff val="25000"/>
                          </a:schemeClr>
                        </a:solidFill>
                        <a:latin typeface="+mn-lt"/>
                        <a:ea typeface="+mn-ea"/>
                        <a:cs typeface="+mn-cs"/>
                      </a:defRPr>
                    </a:pPr>
                    <a:r>
                      <a:rPr lang="zh-CN" altLang="en-US" sz="800" b="1"/>
                      <a:t>在职工勤人员</a:t>
                    </a:r>
                    <a:r>
                      <a:rPr lang="en-US" altLang="zh-CN" sz="800" b="1"/>
                      <a:t>2</a:t>
                    </a:r>
                    <a:r>
                      <a:rPr lang="zh-CN" altLang="en-US" sz="800" b="1"/>
                      <a:t>人</a:t>
                    </a:r>
                    <a:r>
                      <a:rPr lang="en-US" altLang="zh-CN" sz="800" b="1"/>
                      <a:t>, 4%</a:t>
                    </a:r>
                  </a:p>
                </c:rich>
              </c:tx>
              <c:spPr>
                <a:noFill/>
                <a:ln>
                  <a:noFill/>
                </a:ln>
                <a:effectLst/>
              </c:spPr>
              <c:dLblPos val="bestFit"/>
              <c:showCatName val="1"/>
              <c:showPercent val="1"/>
              <c:separator>
</c:separator>
              <c:extLst xmlns:c16r2="http://schemas.microsoft.com/office/drawing/2015/06/chart">
                <c:ext xmlns:c15="http://schemas.microsoft.com/office/drawing/2012/chart" uri="{CE6537A1-D6FC-4f65-9D91-7224C49458BB}">
                  <c15:layout>
                    <c:manualLayout>
                      <c:w val="0.28400263331138897"/>
                      <c:h val="0.138406537282942"/>
                    </c:manualLayout>
                  </c15:layout>
                </c:ext>
                <c:ext xmlns:c16="http://schemas.microsoft.com/office/drawing/2014/chart" uri="{C3380CC4-5D6E-409C-BE32-E72D297353CC}">
                  <c16:uniqueId val="{00000005-83A5-4825-ACDC-21878B7BB511}"/>
                </c:ext>
              </c:extLst>
            </c:dLbl>
            <c:spPr>
              <a:noFill/>
              <a:ln>
                <a:noFill/>
              </a:ln>
              <a:effectLst/>
            </c:spPr>
            <c:txPr>
              <a:bodyPr rot="0" spcFirstLastPara="0" vertOverflow="ellipsis" vert="horz" wrap="square" lIns="38100" tIns="19050" rIns="38100" bIns="19050" anchor="ctr" anchorCtr="1"/>
              <a:lstStyle/>
              <a:p>
                <a:pPr>
                  <a:defRPr lang="zh-CN" sz="800" b="1" i="0" u="none" strike="noStrike" kern="1200" baseline="0">
                    <a:solidFill>
                      <a:schemeClr val="tx1">
                        <a:lumMod val="75000"/>
                        <a:lumOff val="25000"/>
                      </a:schemeClr>
                    </a:solidFill>
                    <a:latin typeface="+mn-lt"/>
                    <a:ea typeface="+mn-ea"/>
                    <a:cs typeface="+mn-cs"/>
                  </a:defRPr>
                </a:pPr>
                <a:endParaRPr lang="zh-CN"/>
              </a:p>
            </c:txPr>
            <c:dLblPos val="bestFit"/>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在职行政人员</c:v>
                </c:pt>
                <c:pt idx="1">
                  <c:v>退休人员</c:v>
                </c:pt>
                <c:pt idx="2">
                  <c:v>在职工勤人员</c:v>
                </c:pt>
              </c:strCache>
            </c:strRef>
          </c:cat>
          <c:val>
            <c:numRef>
              <c:f>Sheet1!$B$2:$B$4</c:f>
              <c:numCache>
                <c:formatCode>General</c:formatCode>
                <c:ptCount val="3"/>
                <c:pt idx="0">
                  <c:v>22</c:v>
                </c:pt>
                <c:pt idx="1">
                  <c:v>28</c:v>
                </c:pt>
                <c:pt idx="2">
                  <c:v>2</c:v>
                </c:pt>
              </c:numCache>
            </c:numRef>
          </c:val>
          <c:extLst xmlns:c16r2="http://schemas.microsoft.com/office/drawing/2015/06/chart">
            <c:ext xmlns:c16="http://schemas.microsoft.com/office/drawing/2014/chart" uri="{C3380CC4-5D6E-409C-BE32-E72D297353CC}">
              <c16:uniqueId val="{00000006-83A5-4825-ACDC-21878B7BB511}"/>
            </c:ext>
          </c:extLst>
        </c:ser>
        <c:firstSliceAng val="0"/>
      </c:pieChart>
      <c:spPr>
        <a:noFill/>
        <a:ln>
          <a:noFill/>
        </a:ln>
        <a:effectLst/>
      </c:spPr>
    </c:plotArea>
    <c:legend>
      <c:legendPos val="b"/>
      <c:legendEntry>
        <c:idx val="0"/>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legendEntry>
      <c:spPr>
        <a:noFill/>
        <a:ln>
          <a:noFill/>
        </a:ln>
        <a:effectLst/>
      </c:spPr>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sz="1400" b="1"/>
              <a:t>按支出功能科目分类支出情况图</a:t>
            </a:r>
          </a:p>
        </c:rich>
      </c:tx>
      <c:layout>
        <c:manualLayout>
          <c:xMode val="edge"/>
          <c:yMode val="edge"/>
          <c:x val="0.25212307692307701"/>
          <c:y val="2.7168494516450599E-2"/>
        </c:manualLayout>
      </c:layout>
      <c:spPr>
        <a:noFill/>
        <a:ln>
          <a:noFill/>
        </a:ln>
        <a:effectLst/>
      </c:spPr>
    </c:title>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A4F-431B-86E4-441A9B45A47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A4F-431B-86E4-441A9B45A473}"/>
              </c:ext>
            </c:extLst>
          </c:dPt>
          <c:dLbls>
            <c:dLbl>
              <c:idx val="0"/>
              <c:layout>
                <c:manualLayout>
                  <c:x val="3.7159491295249002E-2"/>
                  <c:y val="-0.19425320308909599"/>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A4F-431B-86E4-441A9B45A473}"/>
                </c:ext>
              </c:extLst>
            </c:dLbl>
            <c:dLbl>
              <c:idx val="1"/>
              <c:layout>
                <c:manualLayout>
                  <c:x val="-3.7766353603782099E-4"/>
                  <c:y val="2.2414551902304E-2"/>
                </c:manualLayout>
              </c:layout>
              <c:dLblPos val="bestFit"/>
              <c:showVal val="1"/>
              <c:extLst xmlns:c16r2="http://schemas.microsoft.com/office/drawing/2015/06/chart">
                <c:ext xmlns:c15="http://schemas.microsoft.com/office/drawing/2012/chart" uri="{CE6537A1-D6FC-4f65-9D91-7224C49458BB}">
                  <c15:layout>
                    <c:manualLayout>
                      <c:w val="7.4092307692307693E-2"/>
                      <c:h val="8.7487537387836503E-2"/>
                    </c:manualLayout>
                  </c15:layout>
                </c:ext>
                <c:ext xmlns:c16="http://schemas.microsoft.com/office/drawing/2014/chart" uri="{C3380CC4-5D6E-409C-BE32-E72D297353CC}">
                  <c16:uniqueId val="{00000003-2A4F-431B-86E4-441A9B45A473}"/>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行政运行基本支出</c:v>
                </c:pt>
                <c:pt idx="1">
                  <c:v>行政运行项目支出</c:v>
                </c:pt>
              </c:strCache>
            </c:strRef>
          </c:cat>
          <c:val>
            <c:numRef>
              <c:f>Sheet1!$B$2:$B$3</c:f>
              <c:numCache>
                <c:formatCode>General</c:formatCode>
                <c:ptCount val="2"/>
                <c:pt idx="0">
                  <c:v>237.33</c:v>
                </c:pt>
                <c:pt idx="1">
                  <c:v>7</c:v>
                </c:pt>
              </c:numCache>
            </c:numRef>
          </c:val>
          <c:extLst xmlns:c16r2="http://schemas.microsoft.com/office/drawing/2015/06/chart">
            <c:ext xmlns:c16="http://schemas.microsoft.com/office/drawing/2014/chart" uri="{C3380CC4-5D6E-409C-BE32-E72D297353CC}">
              <c16:uniqueId val="{00000004-2A4F-431B-86E4-441A9B45A473}"/>
            </c:ext>
          </c:extLst>
        </c:ser>
        <c:dLbls>
          <c:showVal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legendEntry>
      <c:spPr>
        <a:noFill/>
        <a:ln>
          <a:noFill/>
        </a:ln>
        <a:effectLst/>
      </c:spPr>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600" b="1" i="0" u="none" strike="noStrike" kern="1200" spc="0" baseline="0">
                <a:solidFill>
                  <a:schemeClr val="tx1">
                    <a:lumMod val="65000"/>
                    <a:lumOff val="35000"/>
                  </a:schemeClr>
                </a:solidFill>
                <a:latin typeface="+mn-lt"/>
                <a:ea typeface="+mn-ea"/>
                <a:cs typeface="+mn-cs"/>
              </a:defRPr>
            </a:pPr>
            <a:r>
              <a:rPr lang="zh-CN" altLang="en-US" sz="1600" b="1"/>
              <a:t>预算增减情况图</a:t>
            </a:r>
          </a:p>
        </c:rich>
      </c:tx>
      <c:layout>
        <c:manualLayout>
          <c:xMode val="edge"/>
          <c:yMode val="edge"/>
          <c:x val="0.35675430906977013"/>
          <c:y val="7.4689036768236614E-2"/>
        </c:manualLayout>
      </c:layout>
      <c:spPr>
        <a:noFill/>
        <a:ln>
          <a:noFill/>
        </a:ln>
        <a:effectLst/>
      </c:spPr>
    </c:title>
    <c:plotArea>
      <c:layout>
        <c:manualLayout>
          <c:layoutTarget val="inner"/>
          <c:xMode val="edge"/>
          <c:yMode val="edge"/>
          <c:x val="4.9231247088057185E-2"/>
          <c:y val="0.26134207348628602"/>
          <c:w val="0.94502251902469303"/>
          <c:h val="0.64843884767983428"/>
        </c:manualLayout>
      </c:layout>
      <c:barChart>
        <c:barDir val="col"/>
        <c:grouping val="clustered"/>
        <c:ser>
          <c:idx val="0"/>
          <c:order val="0"/>
          <c:tx>
            <c:strRef>
              <c:f>Sheet1!$A$2</c:f>
              <c:strCache>
                <c:ptCount val="1"/>
                <c:pt idx="0">
                  <c:v>2016年预算</c:v>
                </c:pt>
              </c:strCache>
            </c:strRef>
          </c:tx>
          <c:spPr>
            <a:solidFill>
              <a:schemeClr val="accent1"/>
            </a:solidFill>
            <a:ln>
              <a:noFill/>
            </a:ln>
            <a:effectLst/>
          </c:spPr>
          <c:dLbls>
            <c:dLbl>
              <c:idx val="0"/>
              <c:layout>
                <c:manualLayout>
                  <c:x val="1.8636434228917512E-3"/>
                  <c:y val="1.3253224951404895E-2"/>
                </c:manualLayout>
              </c:layout>
              <c:dLblPos val="outEnd"/>
              <c:showVal val="1"/>
              <c:extLst xmlns:c16r2="http://schemas.microsoft.com/office/drawing/2015/06/chart">
                <c:ext xmlns:c15="http://schemas.microsoft.com/office/drawing/2012/chart" uri="{CE6537A1-D6FC-4f65-9D91-7224C49458BB}">
                  <c15:layout>
                    <c:manualLayout>
                      <c:w val="0.15421649324429301"/>
                      <c:h val="5.18559970154822E-2"/>
                    </c:manualLayout>
                  </c15:layout>
                </c:ext>
                <c:ext xmlns:c16="http://schemas.microsoft.com/office/drawing/2014/chart" uri="{C3380CC4-5D6E-409C-BE32-E72D297353CC}">
                  <c16:uniqueId val="{00000000-C08E-41CD-8633-2C727DC20A7D}"/>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369.28</c:v>
                </c:pt>
              </c:numCache>
            </c:numRef>
          </c:val>
          <c:extLst xmlns:c16r2="http://schemas.microsoft.com/office/drawing/2015/06/chart">
            <c:ext xmlns:c16="http://schemas.microsoft.com/office/drawing/2014/chart" uri="{C3380CC4-5D6E-409C-BE32-E72D297353CC}">
              <c16:uniqueId val="{00000001-C08E-41CD-8633-2C727DC20A7D}"/>
            </c:ext>
          </c:extLst>
        </c:ser>
        <c:ser>
          <c:idx val="1"/>
          <c:order val="1"/>
          <c:tx>
            <c:strRef>
              <c:f>Sheet1!$A$3</c:f>
              <c:strCache>
                <c:ptCount val="1"/>
                <c:pt idx="0">
                  <c:v>2017年预算</c:v>
                </c:pt>
              </c:strCache>
            </c:strRef>
          </c:tx>
          <c:spPr>
            <a:solidFill>
              <a:schemeClr val="accent2"/>
            </a:solidFill>
            <a:ln>
              <a:noFill/>
            </a:ln>
            <a:effectLst/>
          </c:spPr>
          <c:dLbls>
            <c:dLbl>
              <c:idx val="0"/>
              <c:layout>
                <c:manualLayout>
                  <c:x val="3.8825904643578209E-3"/>
                  <c:y val="1.555045060964830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08E-41CD-8633-2C727DC20A7D}"/>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Sheet1!$B$3</c:f>
              <c:numCache>
                <c:formatCode>General</c:formatCode>
                <c:ptCount val="1"/>
                <c:pt idx="0">
                  <c:v>359.86</c:v>
                </c:pt>
              </c:numCache>
            </c:numRef>
          </c:val>
          <c:extLst xmlns:c16r2="http://schemas.microsoft.com/office/drawing/2015/06/chart">
            <c:ext xmlns:c16="http://schemas.microsoft.com/office/drawing/2014/chart" uri="{C3380CC4-5D6E-409C-BE32-E72D297353CC}">
              <c16:uniqueId val="{00000003-C08E-41CD-8633-2C727DC20A7D}"/>
            </c:ext>
          </c:extLst>
        </c:ser>
        <c:ser>
          <c:idx val="2"/>
          <c:order val="2"/>
          <c:tx>
            <c:strRef>
              <c:f>Sheet1!$A$4</c:f>
              <c:strCache>
                <c:ptCount val="1"/>
                <c:pt idx="0">
                  <c:v>2018年预算</c:v>
                </c:pt>
              </c:strCache>
            </c:strRef>
          </c:tx>
          <c:spPr>
            <a:solidFill>
              <a:schemeClr val="accent3"/>
            </a:solidFill>
            <a:ln>
              <a:noFill/>
            </a:ln>
            <a:effectLst/>
          </c:spPr>
          <c:dLbls>
            <c:dLbl>
              <c:idx val="0"/>
              <c:layout>
                <c:manualLayout>
                  <c:x val="1.8636434228917512E-3"/>
                  <c:y val="8.8354833009365637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08E-41CD-8633-2C727DC20A7D}"/>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Sheet1!$B$4</c:f>
              <c:numCache>
                <c:formatCode>General</c:formatCode>
                <c:ptCount val="1"/>
                <c:pt idx="0">
                  <c:v>244.33</c:v>
                </c:pt>
              </c:numCache>
            </c:numRef>
          </c:val>
          <c:extLst xmlns:c16r2="http://schemas.microsoft.com/office/drawing/2015/06/chart">
            <c:ext xmlns:c16="http://schemas.microsoft.com/office/drawing/2014/chart" uri="{C3380CC4-5D6E-409C-BE32-E72D297353CC}">
              <c16:uniqueId val="{00000005-C08E-41CD-8633-2C727DC20A7D}"/>
            </c:ext>
          </c:extLst>
        </c:ser>
        <c:gapWidth val="219"/>
        <c:overlap val="-27"/>
        <c:axId val="92703360"/>
        <c:axId val="92729728"/>
      </c:barChart>
      <c:catAx>
        <c:axId val="92703360"/>
        <c:scaling>
          <c:orientation val="minMax"/>
        </c:scaling>
        <c:delete val="1"/>
        <c:axPos val="b"/>
        <c:majorTickMark val="none"/>
        <c:tickLblPos val="nextTo"/>
        <c:crossAx val="92729728"/>
        <c:crosses val="autoZero"/>
        <c:auto val="1"/>
        <c:lblAlgn val="ctr"/>
        <c:lblOffset val="100"/>
      </c:catAx>
      <c:valAx>
        <c:axId val="9272972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92703360"/>
        <c:crosses val="autoZero"/>
        <c:crossBetween val="between"/>
      </c:valAx>
      <c:spPr>
        <a:noFill/>
        <a:ln>
          <a:noFill/>
        </a:ln>
        <a:effectLst/>
      </c:spPr>
    </c:plotArea>
    <c:legend>
      <c:legendPos val="b"/>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legendEntry>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legendEntry>
      <c:layout>
        <c:manualLayout>
          <c:xMode val="edge"/>
          <c:yMode val="edge"/>
          <c:x val="0.20857275974530201"/>
          <c:y val="0.92878600459445104"/>
        </c:manualLayout>
      </c:layout>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798</Words>
  <Characters>4552</Characters>
  <Application>Microsoft Office Word</Application>
  <DocSecurity>0</DocSecurity>
  <Lines>37</Lines>
  <Paragraphs>10</Paragraphs>
  <ScaleCrop>false</ScaleCrop>
  <Company>User</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李星</cp:lastModifiedBy>
  <cp:revision>2</cp:revision>
  <cp:lastPrinted>2018-03-08T09:06:00Z</cp:lastPrinted>
  <dcterms:created xsi:type="dcterms:W3CDTF">2018-05-11T07:57:00Z</dcterms:created>
  <dcterms:modified xsi:type="dcterms:W3CDTF">2018-05-11T07:57:00Z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