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36" w:rsidRDefault="00521DCD">
      <w:pPr>
        <w:spacing w:line="700" w:lineRule="exact"/>
        <w:jc w:val="center"/>
        <w:rPr>
          <w:rFonts w:ascii="方正小标宋简体" w:eastAsia="方正小标宋简体" w:hAnsi="仿宋"/>
          <w:sz w:val="44"/>
          <w:szCs w:val="30"/>
        </w:rPr>
      </w:pPr>
      <w:r>
        <w:rPr>
          <w:rFonts w:ascii="方正小标宋简体" w:eastAsia="方正小标宋简体" w:hAnsi="仿宋" w:hint="eastAsia"/>
          <w:sz w:val="44"/>
          <w:szCs w:val="30"/>
        </w:rPr>
        <w:t>镇安县移民（脱贫）搬迁工作办公室</w:t>
      </w:r>
    </w:p>
    <w:p w:rsidR="00851536" w:rsidRDefault="00521DCD">
      <w:pPr>
        <w:spacing w:line="700" w:lineRule="exact"/>
        <w:jc w:val="center"/>
        <w:rPr>
          <w:rFonts w:ascii="方正小标宋简体" w:eastAsia="方正小标宋简体" w:hAnsi="仿宋"/>
          <w:sz w:val="44"/>
          <w:szCs w:val="30"/>
        </w:rPr>
      </w:pPr>
      <w:r>
        <w:rPr>
          <w:rFonts w:ascii="方正小标宋简体" w:eastAsia="方正小标宋简体" w:hAnsi="仿宋" w:hint="eastAsia"/>
          <w:sz w:val="44"/>
          <w:szCs w:val="30"/>
        </w:rPr>
        <w:t>2018年部门综合预算说明</w:t>
      </w:r>
    </w:p>
    <w:p w:rsidR="00851536" w:rsidRDefault="00851536">
      <w:pPr>
        <w:rPr>
          <w:rFonts w:ascii="仿宋" w:eastAsia="仿宋" w:hAnsi="仿宋"/>
          <w:sz w:val="32"/>
          <w:szCs w:val="32"/>
        </w:rPr>
      </w:pPr>
    </w:p>
    <w:p w:rsidR="00851536" w:rsidRDefault="00521DCD">
      <w:pPr>
        <w:spacing w:line="480" w:lineRule="exact"/>
        <w:ind w:firstLineChars="200" w:firstLine="640"/>
        <w:rPr>
          <w:rFonts w:ascii="黑体" w:eastAsia="黑体" w:hAnsi="黑体"/>
          <w:sz w:val="32"/>
          <w:szCs w:val="32"/>
        </w:rPr>
      </w:pPr>
      <w:r>
        <w:rPr>
          <w:rFonts w:ascii="黑体" w:eastAsia="黑体" w:hAnsi="黑体" w:hint="eastAsia"/>
          <w:sz w:val="32"/>
          <w:szCs w:val="32"/>
        </w:rPr>
        <w:t>一、部门</w:t>
      </w:r>
      <w:r>
        <w:rPr>
          <w:rFonts w:ascii="黑体" w:eastAsia="黑体" w:hAnsi="黑体"/>
          <w:sz w:val="32"/>
          <w:szCs w:val="32"/>
        </w:rPr>
        <w:t>主</w:t>
      </w:r>
      <w:r>
        <w:rPr>
          <w:rFonts w:ascii="黑体" w:eastAsia="黑体" w:hAnsi="黑体" w:hint="eastAsia"/>
          <w:sz w:val="32"/>
          <w:szCs w:val="32"/>
        </w:rPr>
        <w:t>要</w:t>
      </w:r>
      <w:r>
        <w:rPr>
          <w:rFonts w:ascii="黑体" w:eastAsia="黑体" w:hAnsi="黑体"/>
          <w:sz w:val="32"/>
          <w:szCs w:val="32"/>
        </w:rPr>
        <w:t>职责</w:t>
      </w:r>
    </w:p>
    <w:p w:rsidR="00851536" w:rsidRPr="00380D4A" w:rsidRDefault="00521DCD">
      <w:pPr>
        <w:spacing w:line="480" w:lineRule="exact"/>
        <w:ind w:firstLineChars="200" w:firstLine="640"/>
        <w:rPr>
          <w:rFonts w:ascii="仿宋" w:eastAsia="仿宋" w:hAnsi="仿宋" w:cs="仿宋"/>
          <w:sz w:val="32"/>
          <w:szCs w:val="32"/>
        </w:rPr>
      </w:pPr>
      <w:r w:rsidRPr="00380D4A">
        <w:rPr>
          <w:rFonts w:ascii="仿宋" w:eastAsia="仿宋" w:hAnsi="仿宋" w:cs="仿宋" w:hint="eastAsia"/>
          <w:sz w:val="32"/>
          <w:szCs w:val="32"/>
        </w:rPr>
        <w:t>镇安县移民（脱贫）搬迁工作办公室，主要职责是：拟定全县移民（脱贫）搬迁政策、规定、办法和指导意见；编制移民（脱贫）搬迁规划、产业发展和就业安置规划；编报年度移民搬迁计划、基础设施和公共服务设施配套计划、资金筹措计划；督促检查各镇（办）、领导小组各成员单位移民（脱贫）搬迁工作责任的推进落实；负责移民（脱贫）搬迁项目的评估论证、审核申报、数会信息统计和上报监测，监督检查项目实施进度、质量和效果；总结推广移民（脱贫）搬迁工作经验；承办组织移民（脱贫）搬迁工作的日常检查和年终考核工作；承办县移民办日常工作；负责办理市、县领导小组及办公室交办的其他工作任务。</w:t>
      </w:r>
    </w:p>
    <w:p w:rsidR="00851536" w:rsidRDefault="00521DCD">
      <w:pPr>
        <w:spacing w:line="480" w:lineRule="exact"/>
        <w:ind w:firstLineChars="200" w:firstLine="640"/>
        <w:rPr>
          <w:rFonts w:ascii="黑体" w:eastAsia="黑体" w:hAnsi="黑体"/>
          <w:sz w:val="32"/>
          <w:szCs w:val="32"/>
        </w:rPr>
      </w:pPr>
      <w:r>
        <w:rPr>
          <w:rFonts w:ascii="黑体" w:eastAsia="黑体" w:hAnsi="黑体" w:hint="eastAsia"/>
          <w:sz w:val="32"/>
          <w:szCs w:val="32"/>
        </w:rPr>
        <w:t>二、2018年</w:t>
      </w:r>
      <w:r>
        <w:rPr>
          <w:rFonts w:ascii="黑体" w:eastAsia="黑体" w:hAnsi="黑体"/>
          <w:sz w:val="32"/>
          <w:szCs w:val="32"/>
        </w:rPr>
        <w:t>年度部门工作任务</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2018年是全省易地扶贫搬迁项目建设的决战年、后续脱贫的关键年、作风建设的攻坚年，全县易地扶贫搬迁工作总体要求和目标任务是：全面贯彻党的十九大精神，深刻领会习近平总书记在深度贫困地区脱贫攻坚座谈会上的讲话精神，抢抓国家实施乡村振兴战略机遇，以纵深推进易地扶贫搬迁“三精”工作理念为主线，以创建宜居宜业“双示范”社区为中心，以减贫计划中的搬迁人口如期脱贫为目标，按照“搬迁是手段，管理是重点，脱贫是目的，就业是核心，产业是根本”的总体要求，统筹推进项目建设、搬迁入住、小区管理和就业脱贫各项工作。2018年在建的37个集中安置点全部建成，达到国家规定的入住标准。</w:t>
      </w:r>
      <w:r>
        <w:rPr>
          <w:rFonts w:ascii="仿宋" w:eastAsia="仿宋" w:hAnsi="仿宋" w:cs="仿宋" w:hint="eastAsia"/>
          <w:sz w:val="32"/>
          <w:szCs w:val="32"/>
        </w:rPr>
        <w:lastRenderedPageBreak/>
        <w:t>2018年75个整体脱贫村和2019年15个深度贫困村中的易地扶贫搬迁户全部精准搬迁安置、精准脱贫退出；旧宅基地腾退复垦任务全面完成；全县100户以上的29个集中安置点，全部建起社区工厂和产业园区，实现先业后搬、以业促搬、以岗定搬、订单搬迁，人地房业精准对接，搬迁一户，脱贫一户目标。</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今年，要重点抓好六个方面工作。</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是全力推进项目建设。今年是脱贫攻坚决战年，易地扶贫搬迁作为脱贫攻坚标志性工程，县委、县政府决定，2018年在建的37个集中安置点，除庙沟镇蒿坪（二期）、铁厂和谐小区（五期）2个安置点可适度推迟房屋主体、“小配套”完成时限，其余35个集中安置点，必须在6月底之前“小配套”工程竣工验收，达到国家规定的入住标准，完成决算审计工作。以1人和2人户分散安置房建设为重点，分散搬迁全部达到入住条件，并实际入住。12月底前，庙沟镇蒿坪（二期）、铁厂和谐小区（五期）2个安置点“大配套”项目全面完成，集中搬迁入住率达到30%。其余所有集中安置点入住率达到60%以上；完成项目结决算审计工作。</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是加快实际搬迁入住。已经达到入住条件，向搬迁户交钥匙的安置点，各镇办要按照“有条件的引导督促立即实施装修，没有条件的创造条件实施装修，搬迁户自主装修为主，统一装修为辅”的办法，动员、引导、组织搬迁户积极装修，尽快入住。根据摸底需要，镇办可成立统一的装修服务队，在与搬迁户充分沟通，双方自愿，签订合同的前提下，为无装修能力户、签订装修合同户，提供适合他们经济条件和个人意愿的装修服务。对经济困难，缺乏装修资金户，可利用推进搬迁户旧宅基地腾退复垦，采取即拆即补，加快兑付旧宅拆除补助资金，创造条件解决群众</w:t>
      </w:r>
      <w:r>
        <w:rPr>
          <w:rFonts w:ascii="仿宋" w:eastAsia="仿宋" w:hAnsi="仿宋" w:cs="仿宋" w:hint="eastAsia"/>
          <w:sz w:val="32"/>
          <w:szCs w:val="32"/>
        </w:rPr>
        <w:lastRenderedPageBreak/>
        <w:t>装修困难，帮助搬迁群众轻松入住新居，保证年度实际入住率达到预期目标。</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三是及时跟进社区管理。要按照“宜居又宜业”的总要求，4月底之前，2017年已建成的19个集中安置点，全面启动“双示范”社区创建工作，物业机构组建到位，根据安置规模，分别成立独立型、挂靠型、融合型社区党组织，指导建立群众自治组织。9月底之前，2018年建成的所有集中安置点，也要启动“双示范”社区创建工作。12月底之前，“双示范”社区创建全面达标。</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是切实抓好搬迁群众后续脱贫工作。按照县脱贫攻坚领导小组“两房两设施”建设“春季攻势”任务分工和推进要求，在全力抓入住条件达成的同时，集中人力、物力，形成攻坚合力，主攻搬迁户入住之后，就近就地就业创业难点和问题，帮助搬迁户稳定增收脱贫。全县100户以上的29个集中安置点，6月底前，要完成配套产业园区或社区工厂前期工作。</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五是全力开展旧宅基地腾退复垦和易地扶贫搬迁融资贷款清偿试点工作。用足用活国家对深度贫困地区扶贫开发及易地扶贫搬迁建设用地增减挂钩政策，县国土、移民、搬迁公司全力配合，按照移民搬迁旧宅基地年度腾退复垦工作规划，全面完成年度腾退复垦工作目标。以腾退为动力，向腾退要效益，积极试点利用节余建设用地指标跨省交易筹集资金，用于偿还易地扶贫搬迁融资贷款。</w:t>
      </w:r>
    </w:p>
    <w:p w:rsidR="00851536" w:rsidRDefault="00521D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六是做实脱贫退出各项保障工作。会同镇办，对今年75个整体脱贫退出村、2019年15个深度贫困村中的易地扶贫搬迁户进行综合研判。对照577标准，确定搬迁脱贫退出时序。规范易地扶贫搬迁政策标准落实，对中省市督查考核反馈的各类问题，</w:t>
      </w:r>
      <w:r>
        <w:rPr>
          <w:rFonts w:ascii="仿宋" w:eastAsia="仿宋" w:hAnsi="仿宋" w:cs="仿宋" w:hint="eastAsia"/>
          <w:sz w:val="32"/>
          <w:szCs w:val="32"/>
        </w:rPr>
        <w:lastRenderedPageBreak/>
        <w:t xml:space="preserve">要追根溯源，花大气力、下狠功夫，补齐短板、化短为长，坚决按要求整改，按标准整改到位，确保易地扶贫搬迁国家稽察、脱贫攻坚国、省督查考核、第三方评估不出问题，向党和人民交一份满意答卷。 </w:t>
      </w:r>
    </w:p>
    <w:p w:rsidR="00851536" w:rsidRDefault="00521DCD">
      <w:pPr>
        <w:numPr>
          <w:ilvl w:val="0"/>
          <w:numId w:val="1"/>
        </w:numPr>
        <w:spacing w:line="480" w:lineRule="exact"/>
        <w:ind w:firstLineChars="200" w:firstLine="640"/>
        <w:rPr>
          <w:rFonts w:ascii="黑体" w:eastAsia="黑体" w:hAnsi="黑体"/>
          <w:sz w:val="32"/>
          <w:szCs w:val="32"/>
        </w:rPr>
      </w:pPr>
      <w:r>
        <w:rPr>
          <w:rFonts w:ascii="黑体" w:eastAsia="黑体" w:hAnsi="黑体" w:hint="eastAsia"/>
          <w:sz w:val="32"/>
          <w:szCs w:val="32"/>
        </w:rPr>
        <w:t>部门</w:t>
      </w:r>
      <w:r>
        <w:rPr>
          <w:rFonts w:ascii="黑体" w:eastAsia="黑体" w:hAnsi="黑体"/>
          <w:sz w:val="32"/>
          <w:szCs w:val="32"/>
        </w:rPr>
        <w:t>预算单位构成</w:t>
      </w:r>
    </w:p>
    <w:p w:rsidR="00851536" w:rsidRDefault="00521DCD">
      <w:pPr>
        <w:spacing w:line="480" w:lineRule="exact"/>
        <w:ind w:firstLineChars="200" w:firstLine="640"/>
        <w:rPr>
          <w:rFonts w:ascii="黑体" w:eastAsia="黑体" w:hAnsi="黑体"/>
          <w:sz w:val="32"/>
          <w:szCs w:val="32"/>
        </w:rPr>
      </w:pPr>
      <w:r>
        <w:rPr>
          <w:rFonts w:ascii="仿宋_GB2312" w:eastAsia="仿宋_GB2312" w:hint="eastAsia"/>
          <w:snapToGrid w:val="0"/>
          <w:sz w:val="32"/>
          <w:szCs w:val="32"/>
        </w:rPr>
        <w:t>镇安县移民（脱贫）搬迁工作办公室，无下级预算单位。</w:t>
      </w:r>
    </w:p>
    <w:p w:rsidR="00851536" w:rsidRDefault="00521DCD">
      <w:pPr>
        <w:spacing w:line="480" w:lineRule="exact"/>
        <w:ind w:firstLineChars="200" w:firstLine="640"/>
        <w:rPr>
          <w:rFonts w:ascii="黑体" w:eastAsia="黑体" w:hAnsi="黑体"/>
          <w:sz w:val="32"/>
          <w:szCs w:val="32"/>
        </w:rPr>
      </w:pPr>
      <w:r>
        <w:rPr>
          <w:rFonts w:ascii="黑体" w:eastAsia="黑体" w:hAnsi="黑体" w:hint="eastAsia"/>
          <w:sz w:val="32"/>
          <w:szCs w:val="32"/>
        </w:rPr>
        <w:t>四、部门</w:t>
      </w:r>
      <w:r>
        <w:rPr>
          <w:rFonts w:ascii="黑体" w:eastAsia="黑体" w:hAnsi="黑体"/>
          <w:sz w:val="32"/>
          <w:szCs w:val="32"/>
        </w:rPr>
        <w:t>人员情况说明</w:t>
      </w:r>
    </w:p>
    <w:p w:rsidR="00851536" w:rsidRDefault="00521DCD">
      <w:pPr>
        <w:spacing w:line="480" w:lineRule="exact"/>
        <w:ind w:firstLineChars="200" w:firstLine="640"/>
        <w:rPr>
          <w:rFonts w:ascii="仿宋" w:eastAsia="仿宋" w:hAnsi="仿宋"/>
          <w:sz w:val="32"/>
          <w:szCs w:val="32"/>
        </w:rPr>
      </w:pPr>
      <w:r>
        <w:rPr>
          <w:rFonts w:ascii="仿宋" w:eastAsia="仿宋" w:hAnsi="仿宋" w:hint="eastAsia"/>
          <w:sz w:val="32"/>
          <w:szCs w:val="32"/>
        </w:rPr>
        <w:t>2018年镇安县移民（脱贫）搬迁工作办公室”预算单位构成为：镇安县移民（脱贫）搬迁工作办公室1个单位，隶属县国土资源局管理，编制8人，正科级规格</w:t>
      </w:r>
      <w:bookmarkStart w:id="0" w:name="_GoBack"/>
      <w:bookmarkEnd w:id="0"/>
      <w:r>
        <w:rPr>
          <w:rFonts w:ascii="仿宋" w:eastAsia="仿宋" w:hAnsi="仿宋" w:hint="eastAsia"/>
          <w:sz w:val="32"/>
          <w:szCs w:val="32"/>
        </w:rPr>
        <w:t>，设领导职数1正1副。目前共有职工19人，其中正式编制6人，借调5人，公益性岗位6人，跟班学习2人。目前内设综合股、项目股、信息股、产业股四个股室。</w:t>
      </w:r>
    </w:p>
    <w:p w:rsidR="00851536" w:rsidRDefault="00521DCD">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extent cx="5080000" cy="3002280"/>
            <wp:effectExtent l="4445" t="4445" r="20955" b="222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1536" w:rsidRDefault="00521DCD">
      <w:pPr>
        <w:spacing w:line="520" w:lineRule="exact"/>
        <w:ind w:firstLineChars="200" w:firstLine="640"/>
        <w:rPr>
          <w:rFonts w:ascii="黑体" w:eastAsia="黑体" w:hAnsi="黑体"/>
          <w:sz w:val="32"/>
          <w:szCs w:val="32"/>
        </w:rPr>
      </w:pPr>
      <w:r>
        <w:rPr>
          <w:rFonts w:ascii="黑体" w:eastAsia="黑体" w:hAnsi="黑体" w:hint="eastAsia"/>
          <w:sz w:val="32"/>
          <w:szCs w:val="32"/>
        </w:rPr>
        <w:t>五、部门</w:t>
      </w:r>
      <w:r>
        <w:rPr>
          <w:rFonts w:ascii="黑体" w:eastAsia="黑体" w:hAnsi="黑体"/>
          <w:sz w:val="32"/>
          <w:szCs w:val="32"/>
        </w:rPr>
        <w:t>国有资产占有使用及资产购置情况说明</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截至2017年12月31日，本</w:t>
      </w:r>
      <w:r>
        <w:rPr>
          <w:rFonts w:ascii="仿宋" w:eastAsia="仿宋" w:hAnsi="仿宋"/>
          <w:sz w:val="32"/>
          <w:szCs w:val="32"/>
        </w:rPr>
        <w:t>部门</w:t>
      </w:r>
      <w:r w:rsidR="00940BEF">
        <w:rPr>
          <w:rFonts w:ascii="仿宋" w:eastAsia="仿宋" w:hAnsi="仿宋" w:hint="eastAsia"/>
          <w:sz w:val="32"/>
          <w:szCs w:val="32"/>
        </w:rPr>
        <w:t>所属预算单位</w:t>
      </w:r>
      <w:r>
        <w:rPr>
          <w:rFonts w:ascii="仿宋" w:eastAsia="仿宋" w:hAnsi="仿宋"/>
          <w:sz w:val="32"/>
          <w:szCs w:val="32"/>
        </w:rPr>
        <w:t>共有车辆</w:t>
      </w:r>
      <w:r>
        <w:rPr>
          <w:rFonts w:ascii="仿宋" w:eastAsia="仿宋" w:hAnsi="仿宋" w:hint="eastAsia"/>
          <w:sz w:val="32"/>
          <w:szCs w:val="32"/>
        </w:rPr>
        <w:t>1</w:t>
      </w:r>
      <w:r>
        <w:rPr>
          <w:rFonts w:ascii="仿宋" w:eastAsia="仿宋" w:hAnsi="仿宋" w:hint="eastAsia"/>
          <w:sz w:val="32"/>
          <w:szCs w:val="32"/>
        </w:rPr>
        <w:lastRenderedPageBreak/>
        <w:t>辆，为政府划拨我单位公务用车，折价4万元。</w:t>
      </w:r>
      <w:r w:rsidR="00940BEF">
        <w:rPr>
          <w:rFonts w:ascii="仿宋" w:eastAsia="仿宋" w:hAnsi="仿宋" w:hint="eastAsia"/>
          <w:sz w:val="32"/>
          <w:szCs w:val="32"/>
        </w:rPr>
        <w:t>单价20万元以上的设备0台。</w:t>
      </w: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年</w:t>
      </w:r>
      <w:r>
        <w:rPr>
          <w:rFonts w:ascii="仿宋" w:eastAsia="仿宋" w:hAnsi="仿宋"/>
          <w:sz w:val="32"/>
          <w:szCs w:val="32"/>
        </w:rPr>
        <w:t>部门预算安排购置车辆</w:t>
      </w:r>
      <w:r w:rsidR="00940BEF">
        <w:rPr>
          <w:rFonts w:ascii="仿宋" w:eastAsia="仿宋" w:hAnsi="仿宋" w:hint="eastAsia"/>
          <w:sz w:val="32"/>
          <w:szCs w:val="32"/>
        </w:rPr>
        <w:t>0辆</w:t>
      </w:r>
      <w:r>
        <w:rPr>
          <w:rFonts w:ascii="仿宋" w:eastAsia="仿宋" w:hAnsi="仿宋" w:hint="eastAsia"/>
          <w:sz w:val="32"/>
          <w:szCs w:val="32"/>
        </w:rPr>
        <w:t>；安排</w:t>
      </w:r>
      <w:r>
        <w:rPr>
          <w:rFonts w:ascii="仿宋" w:eastAsia="仿宋" w:hAnsi="仿宋"/>
          <w:sz w:val="32"/>
          <w:szCs w:val="32"/>
        </w:rPr>
        <w:t>购置单</w:t>
      </w:r>
      <w:r>
        <w:rPr>
          <w:rFonts w:ascii="仿宋" w:eastAsia="仿宋" w:hAnsi="仿宋" w:hint="eastAsia"/>
          <w:sz w:val="32"/>
          <w:szCs w:val="32"/>
        </w:rPr>
        <w:t>价2</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以上的设备</w:t>
      </w:r>
      <w:r w:rsidR="00940BEF">
        <w:rPr>
          <w:rFonts w:ascii="仿宋" w:eastAsia="仿宋" w:hAnsi="仿宋" w:hint="eastAsia"/>
          <w:sz w:val="32"/>
          <w:szCs w:val="32"/>
        </w:rPr>
        <w:t>0台</w:t>
      </w:r>
      <w:r>
        <w:rPr>
          <w:rFonts w:ascii="仿宋" w:eastAsia="仿宋" w:hAnsi="仿宋" w:hint="eastAsia"/>
          <w:sz w:val="32"/>
          <w:szCs w:val="32"/>
        </w:rPr>
        <w:t>。</w:t>
      </w:r>
    </w:p>
    <w:p w:rsidR="00851536" w:rsidRDefault="00521DCD">
      <w:pPr>
        <w:spacing w:line="520" w:lineRule="exact"/>
        <w:ind w:firstLineChars="200" w:firstLine="640"/>
        <w:rPr>
          <w:rFonts w:ascii="黑体" w:eastAsia="黑体" w:hAnsi="黑体"/>
          <w:sz w:val="32"/>
          <w:szCs w:val="32"/>
        </w:rPr>
      </w:pPr>
      <w:r>
        <w:rPr>
          <w:rFonts w:ascii="黑体" w:eastAsia="黑体" w:hAnsi="黑体" w:hint="eastAsia"/>
          <w:sz w:val="32"/>
          <w:szCs w:val="32"/>
        </w:rPr>
        <w:t>六、部门</w:t>
      </w:r>
      <w:r>
        <w:rPr>
          <w:rFonts w:ascii="黑体" w:eastAsia="黑体" w:hAnsi="黑体"/>
          <w:sz w:val="32"/>
          <w:szCs w:val="32"/>
        </w:rPr>
        <w:t>预算</w:t>
      </w:r>
      <w:r>
        <w:rPr>
          <w:rFonts w:ascii="黑体" w:eastAsia="黑体" w:hAnsi="黑体" w:hint="eastAsia"/>
          <w:sz w:val="32"/>
          <w:szCs w:val="32"/>
        </w:rPr>
        <w:t>绩</w:t>
      </w:r>
      <w:r>
        <w:rPr>
          <w:rFonts w:ascii="黑体" w:eastAsia="黑体" w:hAnsi="黑体"/>
          <w:sz w:val="32"/>
          <w:szCs w:val="32"/>
        </w:rPr>
        <w:t>效目标说明</w:t>
      </w:r>
    </w:p>
    <w:p w:rsidR="00A4663C" w:rsidRDefault="00A4663C">
      <w:pPr>
        <w:spacing w:line="520" w:lineRule="exact"/>
        <w:ind w:firstLineChars="200" w:firstLine="640"/>
        <w:rPr>
          <w:rFonts w:ascii="仿宋" w:eastAsia="仿宋" w:hAnsi="仿宋"/>
          <w:sz w:val="32"/>
          <w:szCs w:val="32"/>
        </w:rPr>
      </w:pPr>
      <w:r w:rsidRPr="00A4663C">
        <w:rPr>
          <w:rFonts w:ascii="仿宋" w:eastAsia="仿宋" w:hAnsi="仿宋" w:hint="eastAsia"/>
          <w:sz w:val="32"/>
          <w:szCs w:val="32"/>
        </w:rPr>
        <w:t>2018年本部门未开展绩效管理，绩效管理工作方案正在制定中。</w:t>
      </w:r>
    </w:p>
    <w:p w:rsidR="00851536" w:rsidRDefault="00521DCD">
      <w:pPr>
        <w:spacing w:line="520" w:lineRule="exact"/>
        <w:ind w:firstLineChars="200" w:firstLine="640"/>
        <w:rPr>
          <w:rFonts w:ascii="黑体" w:eastAsia="黑体" w:hAnsi="黑体"/>
          <w:sz w:val="32"/>
          <w:szCs w:val="32"/>
        </w:rPr>
      </w:pPr>
      <w:r>
        <w:rPr>
          <w:rFonts w:ascii="黑体" w:eastAsia="黑体" w:hAnsi="黑体" w:hint="eastAsia"/>
          <w:sz w:val="32"/>
          <w:szCs w:val="32"/>
        </w:rPr>
        <w:t>七、2</w:t>
      </w:r>
      <w:r>
        <w:rPr>
          <w:rFonts w:ascii="黑体" w:eastAsia="黑体" w:hAnsi="黑体"/>
          <w:sz w:val="32"/>
          <w:szCs w:val="32"/>
        </w:rPr>
        <w:t>018</w:t>
      </w:r>
      <w:r>
        <w:rPr>
          <w:rFonts w:ascii="黑体" w:eastAsia="黑体" w:hAnsi="黑体" w:hint="eastAsia"/>
          <w:sz w:val="32"/>
          <w:szCs w:val="32"/>
        </w:rPr>
        <w:t>年</w:t>
      </w:r>
      <w:r>
        <w:rPr>
          <w:rFonts w:ascii="黑体" w:eastAsia="黑体" w:hAnsi="黑体"/>
          <w:sz w:val="32"/>
          <w:szCs w:val="32"/>
        </w:rPr>
        <w:t>部门预算收支说明</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（一）收</w:t>
      </w:r>
      <w:r>
        <w:rPr>
          <w:rFonts w:ascii="仿宋" w:eastAsia="仿宋" w:hAnsi="仿宋"/>
          <w:sz w:val="32"/>
          <w:szCs w:val="32"/>
        </w:rPr>
        <w:t>支预算总</w:t>
      </w:r>
      <w:r>
        <w:rPr>
          <w:rFonts w:ascii="仿宋" w:eastAsia="仿宋" w:hAnsi="仿宋" w:hint="eastAsia"/>
          <w:sz w:val="32"/>
          <w:szCs w:val="32"/>
        </w:rPr>
        <w:t>体</w:t>
      </w:r>
      <w:r>
        <w:rPr>
          <w:rFonts w:ascii="仿宋" w:eastAsia="仿宋" w:hAnsi="仿宋"/>
          <w:sz w:val="32"/>
          <w:szCs w:val="32"/>
        </w:rPr>
        <w:t>情况</w:t>
      </w:r>
      <w:r>
        <w:rPr>
          <w:rFonts w:ascii="仿宋" w:eastAsia="仿宋" w:hAnsi="仿宋" w:hint="eastAsia"/>
          <w:sz w:val="32"/>
          <w:szCs w:val="32"/>
        </w:rPr>
        <w:t>。</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2018年，镇安县移民办预算收入为264.94万元，全部为财政预算拨款。较上年相比，增长了80.55%，原因为项目资金预算收入增加，2018年避灾生态搬迁1000户，财政预算了县级配套资金200万元。</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2018年，镇安县移民办预算支出为264.94万元，其中基本支出44.94万元，项目支出220万元。基本支出包括基本工资支出42.54万元，商品和服务支出2.4万元；项目支出包括商品服务支出20万元，对个人和家庭的补助支出200万元（避灾生态搬迁户补资金）。2018年预算支出较上年增长，原因为避灾生态户每户1.2万元的县级配套要兑付到户。</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（二）财政</w:t>
      </w:r>
      <w:r>
        <w:rPr>
          <w:rFonts w:ascii="仿宋" w:eastAsia="仿宋" w:hAnsi="仿宋"/>
          <w:sz w:val="32"/>
          <w:szCs w:val="32"/>
        </w:rPr>
        <w:t>拨款</w:t>
      </w:r>
      <w:r>
        <w:rPr>
          <w:rFonts w:ascii="仿宋" w:eastAsia="仿宋" w:hAnsi="仿宋" w:hint="eastAsia"/>
          <w:sz w:val="32"/>
          <w:szCs w:val="32"/>
        </w:rPr>
        <w:t>收</w:t>
      </w:r>
      <w:r>
        <w:rPr>
          <w:rFonts w:ascii="仿宋" w:eastAsia="仿宋" w:hAnsi="仿宋"/>
          <w:sz w:val="32"/>
          <w:szCs w:val="32"/>
        </w:rPr>
        <w:t>支情况</w:t>
      </w:r>
      <w:r>
        <w:rPr>
          <w:rFonts w:ascii="仿宋" w:eastAsia="仿宋" w:hAnsi="仿宋" w:hint="eastAsia"/>
          <w:sz w:val="32"/>
          <w:szCs w:val="32"/>
        </w:rPr>
        <w:t>。</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2018年财政拨款收入为264.94万元，财政拨款支出为264.94万元。</w:t>
      </w:r>
      <w:r>
        <w:rPr>
          <w:rFonts w:ascii="仿宋" w:eastAsia="仿宋" w:hAnsi="仿宋"/>
          <w:sz w:val="32"/>
          <w:szCs w:val="32"/>
        </w:rPr>
        <w:t>财政拨款收支与上年对比</w:t>
      </w:r>
      <w:r>
        <w:rPr>
          <w:rFonts w:ascii="仿宋" w:eastAsia="仿宋" w:hAnsi="仿宋" w:hint="eastAsia"/>
          <w:sz w:val="32"/>
          <w:szCs w:val="32"/>
        </w:rPr>
        <w:t>有所增长。原因为2018年财政拨款收支增加了县级配套资金。</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（三）一般</w:t>
      </w:r>
      <w:r>
        <w:rPr>
          <w:rFonts w:ascii="仿宋" w:eastAsia="仿宋" w:hAnsi="仿宋"/>
          <w:sz w:val="32"/>
          <w:szCs w:val="32"/>
        </w:rPr>
        <w:t>公共预算拨款</w:t>
      </w:r>
      <w:r>
        <w:rPr>
          <w:rFonts w:ascii="仿宋" w:eastAsia="仿宋" w:hAnsi="仿宋" w:hint="eastAsia"/>
          <w:sz w:val="32"/>
          <w:szCs w:val="32"/>
        </w:rPr>
        <w:t>支出</w:t>
      </w:r>
      <w:r>
        <w:rPr>
          <w:rFonts w:ascii="仿宋" w:eastAsia="仿宋" w:hAnsi="仿宋"/>
          <w:sz w:val="32"/>
          <w:szCs w:val="32"/>
        </w:rPr>
        <w:t>明细情况</w:t>
      </w:r>
      <w:r>
        <w:rPr>
          <w:rFonts w:ascii="仿宋" w:eastAsia="仿宋" w:hAnsi="仿宋" w:hint="eastAsia"/>
          <w:sz w:val="32"/>
          <w:szCs w:val="32"/>
        </w:rPr>
        <w:t>。</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1、一般</w:t>
      </w:r>
      <w:r>
        <w:rPr>
          <w:rFonts w:ascii="仿宋" w:eastAsia="仿宋" w:hAnsi="仿宋"/>
          <w:sz w:val="32"/>
          <w:szCs w:val="32"/>
        </w:rPr>
        <w:t>公共预算</w:t>
      </w:r>
      <w:r>
        <w:rPr>
          <w:rFonts w:ascii="仿宋" w:eastAsia="仿宋" w:hAnsi="仿宋" w:hint="eastAsia"/>
          <w:sz w:val="32"/>
          <w:szCs w:val="32"/>
        </w:rPr>
        <w:t>当</w:t>
      </w:r>
      <w:r>
        <w:rPr>
          <w:rFonts w:ascii="仿宋" w:eastAsia="仿宋" w:hAnsi="仿宋"/>
          <w:sz w:val="32"/>
          <w:szCs w:val="32"/>
        </w:rPr>
        <w:t>年拨款规模变化情况</w:t>
      </w:r>
      <w:r>
        <w:rPr>
          <w:rFonts w:ascii="仿宋" w:eastAsia="仿宋" w:hAnsi="仿宋" w:hint="eastAsia"/>
          <w:sz w:val="32"/>
          <w:szCs w:val="32"/>
        </w:rPr>
        <w:t>。</w:t>
      </w:r>
    </w:p>
    <w:p w:rsidR="00851536" w:rsidRPr="00940BEF" w:rsidRDefault="00521DCD" w:rsidP="00940BEF">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2018年，我办一般公共预算拨款为264.94万元，较2017年公共预算拨款相比增加了200万元。</w:t>
      </w:r>
      <w:r w:rsidR="00940BEF">
        <w:rPr>
          <w:rFonts w:ascii="仿宋" w:eastAsia="仿宋" w:hAnsi="仿宋" w:hint="eastAsia"/>
          <w:sz w:val="32"/>
          <w:szCs w:val="32"/>
        </w:rPr>
        <w:t>因为2018年财政拨款收支增加了县级配套资金。</w:t>
      </w:r>
    </w:p>
    <w:p w:rsidR="00851536" w:rsidRDefault="00521DCD">
      <w:pPr>
        <w:spacing w:line="52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支出</w:t>
      </w:r>
      <w:r>
        <w:rPr>
          <w:rFonts w:ascii="仿宋" w:eastAsia="仿宋" w:hAnsi="仿宋"/>
          <w:sz w:val="32"/>
          <w:szCs w:val="32"/>
        </w:rPr>
        <w:t>按功能科目分类的明细情况</w:t>
      </w:r>
      <w:r>
        <w:rPr>
          <w:rFonts w:ascii="仿宋" w:eastAsia="仿宋" w:hAnsi="仿宋" w:hint="eastAsia"/>
          <w:sz w:val="32"/>
          <w:szCs w:val="32"/>
        </w:rPr>
        <w:t>。</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2018年，我办一般公共预算支出为264.94万元，全部为其他保障性安居工程支出，其中：</w:t>
      </w:r>
      <w:r>
        <w:rPr>
          <w:rFonts w:ascii="仿宋" w:eastAsia="仿宋" w:hAnsi="仿宋"/>
          <w:sz w:val="32"/>
          <w:szCs w:val="32"/>
        </w:rPr>
        <w:t>人员经</w:t>
      </w:r>
      <w:r>
        <w:rPr>
          <w:rFonts w:ascii="仿宋" w:eastAsia="仿宋" w:hAnsi="仿宋" w:hint="eastAsia"/>
          <w:sz w:val="32"/>
          <w:szCs w:val="32"/>
        </w:rPr>
        <w:t>费42.54万元、公用</w:t>
      </w:r>
      <w:r>
        <w:rPr>
          <w:rFonts w:ascii="仿宋" w:eastAsia="仿宋" w:hAnsi="仿宋"/>
          <w:sz w:val="32"/>
          <w:szCs w:val="32"/>
        </w:rPr>
        <w:t>经费</w:t>
      </w:r>
      <w:r>
        <w:rPr>
          <w:rFonts w:ascii="仿宋" w:eastAsia="仿宋" w:hAnsi="仿宋" w:hint="eastAsia"/>
          <w:sz w:val="32"/>
          <w:szCs w:val="32"/>
        </w:rPr>
        <w:t>2.4万元、专</w:t>
      </w:r>
      <w:r>
        <w:rPr>
          <w:rFonts w:ascii="仿宋" w:eastAsia="仿宋" w:hAnsi="仿宋"/>
          <w:sz w:val="32"/>
          <w:szCs w:val="32"/>
        </w:rPr>
        <w:t>项业务经费</w:t>
      </w:r>
      <w:r>
        <w:rPr>
          <w:rFonts w:ascii="仿宋" w:eastAsia="仿宋" w:hAnsi="仿宋" w:hint="eastAsia"/>
          <w:sz w:val="32"/>
          <w:szCs w:val="32"/>
        </w:rPr>
        <w:t>220万元。</w:t>
      </w:r>
      <w:r>
        <w:rPr>
          <w:rFonts w:ascii="仿宋" w:eastAsia="仿宋" w:hAnsi="仿宋"/>
          <w:sz w:val="32"/>
          <w:szCs w:val="32"/>
        </w:rPr>
        <w:t>一般公共预算拨款支出</w:t>
      </w:r>
      <w:r>
        <w:rPr>
          <w:rFonts w:ascii="仿宋" w:eastAsia="仿宋" w:hAnsi="仿宋" w:hint="eastAsia"/>
          <w:sz w:val="32"/>
          <w:szCs w:val="32"/>
        </w:rPr>
        <w:t>较2017年相比有所增长，其中专项业务经费增加200万元，</w:t>
      </w:r>
      <w:r w:rsidR="00940BEF">
        <w:rPr>
          <w:rFonts w:ascii="仿宋" w:eastAsia="仿宋" w:hAnsi="仿宋" w:hint="eastAsia"/>
          <w:sz w:val="32"/>
          <w:szCs w:val="32"/>
        </w:rPr>
        <w:t>原因为</w:t>
      </w:r>
      <w:r>
        <w:rPr>
          <w:rFonts w:ascii="仿宋" w:eastAsia="仿宋" w:hAnsi="仿宋" w:hint="eastAsia"/>
          <w:sz w:val="32"/>
          <w:szCs w:val="32"/>
        </w:rPr>
        <w:t>2018年增加了避灾生态搬迁县级配套。人员经费增加14.23万元，2017年部分人员工资6月以后转入单位，导致年初预算人员工资少。公用经费减少0.8万元，单位调出2人。</w:t>
      </w:r>
    </w:p>
    <w:p w:rsidR="00851536" w:rsidRDefault="00851536">
      <w:pPr>
        <w:spacing w:line="520" w:lineRule="exact"/>
        <w:ind w:firstLineChars="200" w:firstLine="640"/>
        <w:rPr>
          <w:rFonts w:ascii="仿宋" w:eastAsia="仿宋" w:hAnsi="仿宋"/>
          <w:sz w:val="32"/>
          <w:szCs w:val="32"/>
        </w:rPr>
      </w:pPr>
    </w:p>
    <w:p w:rsidR="00851536" w:rsidRDefault="00521DCD">
      <w:pPr>
        <w:jc w:val="center"/>
        <w:rPr>
          <w:rFonts w:ascii="仿宋" w:eastAsia="仿宋" w:hAnsi="仿宋"/>
          <w:sz w:val="32"/>
          <w:szCs w:val="32"/>
        </w:rPr>
      </w:pPr>
      <w:r>
        <w:rPr>
          <w:rFonts w:ascii="仿宋" w:eastAsia="仿宋" w:hAnsi="仿宋" w:hint="eastAsia"/>
          <w:noProof/>
          <w:sz w:val="32"/>
          <w:szCs w:val="32"/>
        </w:rPr>
        <w:drawing>
          <wp:inline distT="0" distB="0" distL="114300" distR="114300">
            <wp:extent cx="5146040" cy="3095625"/>
            <wp:effectExtent l="4445" t="4445" r="1206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3、支出</w:t>
      </w:r>
      <w:r>
        <w:rPr>
          <w:rFonts w:ascii="仿宋" w:eastAsia="仿宋" w:hAnsi="仿宋"/>
          <w:sz w:val="32"/>
          <w:szCs w:val="32"/>
        </w:rPr>
        <w:t>按经济科目分类的明细情况</w:t>
      </w:r>
      <w:r>
        <w:rPr>
          <w:rFonts w:ascii="仿宋" w:eastAsia="仿宋" w:hAnsi="仿宋" w:hint="eastAsia"/>
          <w:sz w:val="32"/>
          <w:szCs w:val="32"/>
        </w:rPr>
        <w:t>。</w:t>
      </w:r>
    </w:p>
    <w:p w:rsidR="00851536" w:rsidRDefault="00521DCD">
      <w:pPr>
        <w:spacing w:line="520" w:lineRule="exact"/>
        <w:ind w:firstLineChars="200" w:firstLine="640"/>
        <w:rPr>
          <w:rFonts w:ascii="仿宋" w:eastAsia="仿宋" w:hAnsi="仿宋"/>
          <w:sz w:val="32"/>
          <w:szCs w:val="32"/>
        </w:rPr>
      </w:pPr>
      <w:r>
        <w:rPr>
          <w:rFonts w:ascii="仿宋" w:eastAsia="仿宋" w:hAnsi="仿宋" w:hint="eastAsia"/>
          <w:sz w:val="32"/>
          <w:szCs w:val="32"/>
        </w:rPr>
        <w:t>2018年，我办一般公共预算支出为264.94万元，按照经济</w:t>
      </w:r>
      <w:r>
        <w:rPr>
          <w:rFonts w:ascii="仿宋" w:eastAsia="仿宋" w:hAnsi="仿宋" w:hint="eastAsia"/>
          <w:sz w:val="32"/>
          <w:szCs w:val="32"/>
        </w:rPr>
        <w:lastRenderedPageBreak/>
        <w:t>科目分类，基本支出为44.94万元，其中：工资福利支出-基本工资支出42.54万元，商品和服务支出2.4万元，较上年相比基本工资支出增长了33.45%，增加了14.23万元。主要原因为2018年预算时，我单位人员工资全部转移到位。项目支出220万元，其中：商品和服务支出20万元，对个人和家庭的补助支出200万元。较上年相比，增加了对个人和家庭的补助支出200万元。</w:t>
      </w:r>
    </w:p>
    <w:p w:rsidR="00851536" w:rsidRDefault="00851536">
      <w:pPr>
        <w:spacing w:line="520" w:lineRule="exact"/>
        <w:ind w:firstLineChars="200" w:firstLine="640"/>
        <w:rPr>
          <w:rFonts w:ascii="仿宋" w:eastAsia="仿宋" w:hAnsi="仿宋"/>
          <w:sz w:val="32"/>
          <w:szCs w:val="32"/>
        </w:rPr>
      </w:pPr>
    </w:p>
    <w:p w:rsidR="00851536" w:rsidRDefault="00521DCD">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extent cx="5091430" cy="2281555"/>
            <wp:effectExtent l="19050" t="0" r="13970" b="44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1536" w:rsidRDefault="00521DCD">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extent cx="4748530" cy="3110230"/>
            <wp:effectExtent l="19050" t="0" r="1397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lastRenderedPageBreak/>
        <w:t>（四）政府</w:t>
      </w:r>
      <w:r>
        <w:rPr>
          <w:rFonts w:ascii="仿宋" w:eastAsia="仿宋" w:hAnsi="仿宋"/>
          <w:sz w:val="32"/>
          <w:szCs w:val="32"/>
        </w:rPr>
        <w:t>性基金预算支出情况</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部门无政府性基金预算收支</w:t>
      </w:r>
      <w:r>
        <w:rPr>
          <w:rFonts w:ascii="仿宋" w:eastAsia="仿宋" w:hAnsi="仿宋" w:hint="eastAsia"/>
          <w:sz w:val="32"/>
          <w:szCs w:val="32"/>
        </w:rPr>
        <w:t>，并</w:t>
      </w:r>
      <w:r>
        <w:rPr>
          <w:rFonts w:ascii="仿宋" w:eastAsia="仿宋" w:hAnsi="仿宋"/>
          <w:sz w:val="32"/>
          <w:szCs w:val="32"/>
        </w:rPr>
        <w:t>已</w:t>
      </w:r>
      <w:r>
        <w:rPr>
          <w:rFonts w:ascii="仿宋" w:eastAsia="仿宋" w:hAnsi="仿宋" w:hint="eastAsia"/>
          <w:sz w:val="32"/>
          <w:szCs w:val="32"/>
        </w:rPr>
        <w:t>公开</w:t>
      </w:r>
      <w:r>
        <w:rPr>
          <w:rFonts w:ascii="仿宋" w:eastAsia="仿宋" w:hAnsi="仿宋"/>
          <w:sz w:val="32"/>
          <w:szCs w:val="32"/>
        </w:rPr>
        <w:t>空表</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（五）国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经营预算拨款收支情况</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无国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w:t>
      </w:r>
      <w:r>
        <w:rPr>
          <w:rFonts w:ascii="仿宋" w:eastAsia="仿宋" w:hAnsi="仿宋" w:hint="eastAsia"/>
          <w:sz w:val="32"/>
          <w:szCs w:val="32"/>
        </w:rPr>
        <w:t>。</w:t>
      </w:r>
    </w:p>
    <w:p w:rsidR="00851536" w:rsidRDefault="00521DCD">
      <w:pPr>
        <w:numPr>
          <w:ilvl w:val="0"/>
          <w:numId w:val="2"/>
        </w:num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公</w:t>
      </w:r>
      <w:r>
        <w:rPr>
          <w:rFonts w:ascii="仿宋" w:eastAsia="仿宋" w:hAnsi="仿宋" w:hint="eastAsia"/>
          <w:sz w:val="32"/>
          <w:szCs w:val="32"/>
        </w:rPr>
        <w:t>”经</w:t>
      </w:r>
      <w:r>
        <w:rPr>
          <w:rFonts w:ascii="仿宋" w:eastAsia="仿宋" w:hAnsi="仿宋"/>
          <w:sz w:val="32"/>
          <w:szCs w:val="32"/>
        </w:rPr>
        <w:t>费等预算情况</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2018年“三</w:t>
      </w:r>
      <w:r>
        <w:rPr>
          <w:rFonts w:ascii="仿宋" w:eastAsia="仿宋" w:hAnsi="仿宋"/>
          <w:sz w:val="32"/>
          <w:szCs w:val="32"/>
        </w:rPr>
        <w:t>公</w:t>
      </w:r>
      <w:r>
        <w:rPr>
          <w:rFonts w:ascii="仿宋" w:eastAsia="仿宋" w:hAnsi="仿宋" w:hint="eastAsia"/>
          <w:sz w:val="32"/>
          <w:szCs w:val="32"/>
        </w:rPr>
        <w:t>”经</w:t>
      </w:r>
      <w:r>
        <w:rPr>
          <w:rFonts w:ascii="仿宋" w:eastAsia="仿宋" w:hAnsi="仿宋"/>
          <w:sz w:val="32"/>
          <w:szCs w:val="32"/>
        </w:rPr>
        <w:t>费</w:t>
      </w:r>
      <w:r>
        <w:rPr>
          <w:rFonts w:ascii="仿宋" w:eastAsia="仿宋" w:hAnsi="仿宋" w:hint="eastAsia"/>
          <w:sz w:val="32"/>
          <w:szCs w:val="32"/>
        </w:rPr>
        <w:t>预算为1.8万元，较2017年相比基本持平。其中出国费0万元，公务接待费1万元，公务用车运行费0.8万元。在今年全县移民搬迁任务重，检查、考核多的基础上，我单位本着厉行节约的原则，合理安排单位的“三公”经费支出，没有增加预算支出。</w:t>
      </w:r>
    </w:p>
    <w:p w:rsidR="00851536" w:rsidRDefault="00521DCD">
      <w:pPr>
        <w:numPr>
          <w:ilvl w:val="0"/>
          <w:numId w:val="2"/>
        </w:numPr>
        <w:ind w:firstLineChars="200" w:firstLine="640"/>
        <w:rPr>
          <w:rFonts w:ascii="仿宋" w:eastAsia="仿宋" w:hAnsi="仿宋"/>
          <w:sz w:val="32"/>
          <w:szCs w:val="32"/>
        </w:rPr>
      </w:pPr>
      <w:r>
        <w:rPr>
          <w:rFonts w:ascii="仿宋" w:eastAsia="仿宋" w:hAnsi="仿宋" w:hint="eastAsia"/>
          <w:sz w:val="32"/>
          <w:szCs w:val="32"/>
        </w:rPr>
        <w:t>机</w:t>
      </w:r>
      <w:r>
        <w:rPr>
          <w:rFonts w:ascii="仿宋" w:eastAsia="仿宋" w:hAnsi="仿宋"/>
          <w:sz w:val="32"/>
          <w:szCs w:val="32"/>
        </w:rPr>
        <w:t>关运行经费安排情况</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2018年，机关运行经费预算为22.4万元，其中日常公用经费2.4万元，项目经费20万元。上一年度机</w:t>
      </w:r>
      <w:r>
        <w:rPr>
          <w:rFonts w:ascii="仿宋" w:eastAsia="仿宋" w:hAnsi="仿宋"/>
          <w:sz w:val="32"/>
          <w:szCs w:val="32"/>
        </w:rPr>
        <w:t>关运行经费</w:t>
      </w:r>
      <w:r>
        <w:rPr>
          <w:rFonts w:ascii="仿宋" w:eastAsia="仿宋" w:hAnsi="仿宋" w:hint="eastAsia"/>
          <w:sz w:val="32"/>
          <w:szCs w:val="32"/>
        </w:rPr>
        <w:t>预算为23.2万元。调出2人，所以日常公用经费减少0.8万元，较上一年度相比基本持平。</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（八）政府</w:t>
      </w:r>
      <w:r>
        <w:rPr>
          <w:rFonts w:ascii="仿宋" w:eastAsia="仿宋" w:hAnsi="仿宋"/>
          <w:sz w:val="32"/>
          <w:szCs w:val="32"/>
        </w:rPr>
        <w:t>采购情况</w:t>
      </w:r>
      <w:r>
        <w:rPr>
          <w:rFonts w:ascii="仿宋" w:eastAsia="仿宋" w:hAnsi="仿宋" w:hint="eastAsia"/>
          <w:sz w:val="32"/>
          <w:szCs w:val="32"/>
        </w:rPr>
        <w:t>。</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2018年</w:t>
      </w:r>
      <w:r>
        <w:rPr>
          <w:rFonts w:ascii="仿宋" w:eastAsia="仿宋" w:hAnsi="仿宋"/>
          <w:sz w:val="32"/>
          <w:szCs w:val="32"/>
        </w:rPr>
        <w:t>无政府采购预算</w:t>
      </w:r>
      <w:r>
        <w:rPr>
          <w:rFonts w:ascii="仿宋" w:eastAsia="仿宋" w:hAnsi="仿宋" w:hint="eastAsia"/>
          <w:sz w:val="32"/>
          <w:szCs w:val="32"/>
        </w:rPr>
        <w:t>，并</w:t>
      </w:r>
      <w:r>
        <w:rPr>
          <w:rFonts w:ascii="仿宋" w:eastAsia="仿宋" w:hAnsi="仿宋"/>
          <w:sz w:val="32"/>
          <w:szCs w:val="32"/>
        </w:rPr>
        <w:t>已公开空表</w:t>
      </w:r>
      <w:r>
        <w:rPr>
          <w:rFonts w:ascii="仿宋" w:eastAsia="仿宋" w:hAnsi="仿宋" w:hint="eastAsia"/>
          <w:sz w:val="32"/>
          <w:szCs w:val="32"/>
        </w:rPr>
        <w:t>。</w:t>
      </w:r>
    </w:p>
    <w:p w:rsidR="00851536" w:rsidRDefault="00521DCD">
      <w:pPr>
        <w:ind w:firstLineChars="200" w:firstLine="640"/>
        <w:rPr>
          <w:rFonts w:ascii="黑体" w:eastAsia="黑体" w:hAnsi="黑体"/>
          <w:sz w:val="32"/>
          <w:szCs w:val="32"/>
        </w:rPr>
      </w:pPr>
      <w:r>
        <w:rPr>
          <w:rFonts w:ascii="黑体" w:eastAsia="黑体" w:hAnsi="黑体" w:hint="eastAsia"/>
          <w:sz w:val="32"/>
          <w:szCs w:val="32"/>
        </w:rPr>
        <w:t>八、专业</w:t>
      </w:r>
      <w:r>
        <w:rPr>
          <w:rFonts w:ascii="黑体" w:eastAsia="黑体" w:hAnsi="黑体"/>
          <w:sz w:val="32"/>
          <w:szCs w:val="32"/>
        </w:rPr>
        <w:t>名词解释</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1、机关运行经费：指为保障行政单位（包括参照公务员法管理的事业单位）运行用于购买货物和服务的各项公用经费，包</w:t>
      </w:r>
      <w:r>
        <w:rPr>
          <w:rFonts w:ascii="仿宋" w:eastAsia="仿宋" w:hAnsi="仿宋" w:hint="eastAsia"/>
          <w:sz w:val="32"/>
          <w:szCs w:val="32"/>
        </w:rPr>
        <w:lastRenderedPageBreak/>
        <w:t>括办公及印刷费、邮电费、差旅费、会议费、福利费、日常维修费、专用材料及办公用房水电费、办公用房取暖费、办公用房物业管理费、公务用车运行维护费以及其他费用。</w:t>
      </w:r>
    </w:p>
    <w:p w:rsidR="00851536" w:rsidRDefault="00521DCD">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、避灾生态搬迁：是指搬迁对象生活在工程措施难以有效消除灾害隐患的地质灾害隐患点、山洪灾害频发以及省级以上自然保护区的核心区和缓冲区、生态环境脆弱区内，对生态环境影响较大的农村人口。</w:t>
      </w:r>
    </w:p>
    <w:p w:rsidR="00851536" w:rsidRDefault="00521DCD">
      <w:pPr>
        <w:ind w:firstLineChars="200" w:firstLine="640"/>
        <w:rPr>
          <w:rFonts w:ascii="仿宋" w:eastAsia="仿宋" w:hAnsi="仿宋"/>
          <w:sz w:val="32"/>
          <w:szCs w:val="32"/>
        </w:rPr>
      </w:pPr>
      <w:r>
        <w:rPr>
          <w:rFonts w:ascii="仿宋" w:eastAsia="仿宋" w:hAnsi="仿宋" w:hint="eastAsia"/>
          <w:sz w:val="32"/>
          <w:szCs w:val="32"/>
        </w:rPr>
        <w:t>3、易地扶贫搬迁：是指居住在自然条件恶劣地区即“一方水土养不起一方人”的农村建档立卡贫困人口。</w:t>
      </w:r>
    </w:p>
    <w:p w:rsidR="00851536" w:rsidRDefault="00851536">
      <w:pPr>
        <w:ind w:firstLineChars="200" w:firstLine="640"/>
        <w:rPr>
          <w:rFonts w:ascii="仿宋" w:eastAsia="仿宋" w:hAnsi="仿宋"/>
          <w:sz w:val="32"/>
          <w:szCs w:val="32"/>
        </w:rPr>
      </w:pPr>
    </w:p>
    <w:p w:rsidR="00851536" w:rsidRDefault="00851536">
      <w:pPr>
        <w:ind w:firstLineChars="200" w:firstLine="640"/>
        <w:rPr>
          <w:rFonts w:ascii="仿宋" w:eastAsia="仿宋" w:hAnsi="仿宋"/>
          <w:sz w:val="32"/>
          <w:szCs w:val="32"/>
        </w:rPr>
      </w:pPr>
    </w:p>
    <w:p w:rsidR="00851536" w:rsidRDefault="00521DCD" w:rsidP="00380D4A">
      <w:pPr>
        <w:ind w:firstLineChars="900" w:firstLine="2880"/>
        <w:rPr>
          <w:rFonts w:ascii="仿宋" w:eastAsia="仿宋" w:hAnsi="仿宋"/>
          <w:sz w:val="32"/>
          <w:szCs w:val="32"/>
        </w:rPr>
      </w:pPr>
      <w:r>
        <w:rPr>
          <w:rFonts w:ascii="仿宋" w:eastAsia="仿宋" w:hAnsi="仿宋" w:hint="eastAsia"/>
          <w:sz w:val="32"/>
          <w:szCs w:val="32"/>
        </w:rPr>
        <w:t>镇安县移民（脱贫）搬迁工作办公室</w:t>
      </w:r>
    </w:p>
    <w:p w:rsidR="00851536" w:rsidRDefault="00521DCD">
      <w:pPr>
        <w:ind w:firstLineChars="200" w:firstLine="640"/>
      </w:pPr>
      <w:r>
        <w:rPr>
          <w:rFonts w:ascii="仿宋" w:eastAsia="仿宋" w:hAnsi="仿宋" w:hint="eastAsia"/>
          <w:sz w:val="32"/>
          <w:szCs w:val="32"/>
        </w:rPr>
        <w:t xml:space="preserve">                       2018年</w:t>
      </w:r>
      <w:r>
        <w:rPr>
          <w:rFonts w:ascii="仿宋" w:eastAsia="仿宋" w:hAnsi="仿宋"/>
          <w:sz w:val="32"/>
          <w:szCs w:val="32"/>
        </w:rPr>
        <w:t>3</w:t>
      </w:r>
      <w:r>
        <w:rPr>
          <w:rFonts w:ascii="仿宋" w:eastAsia="仿宋" w:hAnsi="仿宋" w:hint="eastAsia"/>
          <w:sz w:val="32"/>
          <w:szCs w:val="32"/>
        </w:rPr>
        <w:t>月14日</w:t>
      </w:r>
    </w:p>
    <w:sectPr w:rsidR="00851536" w:rsidSect="00851536">
      <w:pgSz w:w="11906" w:h="16838"/>
      <w:pgMar w:top="2098" w:right="1474" w:bottom="1984"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F0" w:rsidRDefault="00747BF0" w:rsidP="00380D4A">
      <w:r>
        <w:separator/>
      </w:r>
    </w:p>
  </w:endnote>
  <w:endnote w:type="continuationSeparator" w:id="0">
    <w:p w:rsidR="00747BF0" w:rsidRDefault="00747BF0" w:rsidP="0038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F0" w:rsidRDefault="00747BF0" w:rsidP="00380D4A">
      <w:r>
        <w:separator/>
      </w:r>
    </w:p>
  </w:footnote>
  <w:footnote w:type="continuationSeparator" w:id="0">
    <w:p w:rsidR="00747BF0" w:rsidRDefault="00747BF0" w:rsidP="00380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AAD7DE"/>
    <w:multiLevelType w:val="singleLevel"/>
    <w:tmpl w:val="B8AAD7DE"/>
    <w:lvl w:ilvl="0">
      <w:start w:val="6"/>
      <w:numFmt w:val="chineseCounting"/>
      <w:suff w:val="nothing"/>
      <w:lvlText w:val="（%1）"/>
      <w:lvlJc w:val="left"/>
      <w:rPr>
        <w:rFonts w:hint="eastAsia"/>
      </w:rPr>
    </w:lvl>
  </w:abstractNum>
  <w:abstractNum w:abstractNumId="1">
    <w:nsid w:val="FB2B1FA1"/>
    <w:multiLevelType w:val="singleLevel"/>
    <w:tmpl w:val="FB2B1FA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7128"/>
    <w:rsid w:val="000837EA"/>
    <w:rsid w:val="000F6A65"/>
    <w:rsid w:val="001D74F6"/>
    <w:rsid w:val="002943FE"/>
    <w:rsid w:val="002B6256"/>
    <w:rsid w:val="0037086B"/>
    <w:rsid w:val="00380D4A"/>
    <w:rsid w:val="003B536E"/>
    <w:rsid w:val="003C166A"/>
    <w:rsid w:val="00407128"/>
    <w:rsid w:val="00521DCD"/>
    <w:rsid w:val="00747BF0"/>
    <w:rsid w:val="00766187"/>
    <w:rsid w:val="007F0518"/>
    <w:rsid w:val="0084325B"/>
    <w:rsid w:val="00851536"/>
    <w:rsid w:val="00940BEF"/>
    <w:rsid w:val="00995645"/>
    <w:rsid w:val="00997D05"/>
    <w:rsid w:val="009B3AD2"/>
    <w:rsid w:val="009E5533"/>
    <w:rsid w:val="00A4663C"/>
    <w:rsid w:val="00AC2797"/>
    <w:rsid w:val="00B31D31"/>
    <w:rsid w:val="00B341C0"/>
    <w:rsid w:val="00B5324B"/>
    <w:rsid w:val="00B835F9"/>
    <w:rsid w:val="00BB4B6B"/>
    <w:rsid w:val="00BC51C8"/>
    <w:rsid w:val="00C0037D"/>
    <w:rsid w:val="00C0239A"/>
    <w:rsid w:val="00C96082"/>
    <w:rsid w:val="00D11853"/>
    <w:rsid w:val="00E1638F"/>
    <w:rsid w:val="00FA52FE"/>
    <w:rsid w:val="00FB3186"/>
    <w:rsid w:val="01D2799F"/>
    <w:rsid w:val="056A482E"/>
    <w:rsid w:val="082D2E91"/>
    <w:rsid w:val="09910285"/>
    <w:rsid w:val="09DE2B0F"/>
    <w:rsid w:val="0E9E67F8"/>
    <w:rsid w:val="0EC0402F"/>
    <w:rsid w:val="10CC3200"/>
    <w:rsid w:val="11CE6A67"/>
    <w:rsid w:val="126626DD"/>
    <w:rsid w:val="12B23909"/>
    <w:rsid w:val="16FE7707"/>
    <w:rsid w:val="1E7A5D08"/>
    <w:rsid w:val="1FF86A04"/>
    <w:rsid w:val="21F32676"/>
    <w:rsid w:val="2354537C"/>
    <w:rsid w:val="23BF7856"/>
    <w:rsid w:val="23CC7317"/>
    <w:rsid w:val="23DD44ED"/>
    <w:rsid w:val="270451E4"/>
    <w:rsid w:val="29742A2A"/>
    <w:rsid w:val="2C033B08"/>
    <w:rsid w:val="2C4A3547"/>
    <w:rsid w:val="2F0C09C2"/>
    <w:rsid w:val="2F206126"/>
    <w:rsid w:val="2F6E4D05"/>
    <w:rsid w:val="303B7E88"/>
    <w:rsid w:val="32B57BB7"/>
    <w:rsid w:val="33463B99"/>
    <w:rsid w:val="34875E58"/>
    <w:rsid w:val="350D50E0"/>
    <w:rsid w:val="36357475"/>
    <w:rsid w:val="36BA0AE3"/>
    <w:rsid w:val="3B166F05"/>
    <w:rsid w:val="3DC004E6"/>
    <w:rsid w:val="41A32A00"/>
    <w:rsid w:val="42616129"/>
    <w:rsid w:val="43E6056E"/>
    <w:rsid w:val="448A7E0E"/>
    <w:rsid w:val="47E00668"/>
    <w:rsid w:val="4B0C66DD"/>
    <w:rsid w:val="50E4426C"/>
    <w:rsid w:val="513B2F81"/>
    <w:rsid w:val="5269421E"/>
    <w:rsid w:val="53C3666F"/>
    <w:rsid w:val="546236D1"/>
    <w:rsid w:val="572C088A"/>
    <w:rsid w:val="57C21889"/>
    <w:rsid w:val="589C1412"/>
    <w:rsid w:val="58B87106"/>
    <w:rsid w:val="5AAE3ED6"/>
    <w:rsid w:val="60653DDC"/>
    <w:rsid w:val="6133403F"/>
    <w:rsid w:val="61645744"/>
    <w:rsid w:val="623855ED"/>
    <w:rsid w:val="696F2F0B"/>
    <w:rsid w:val="6B2D0A6B"/>
    <w:rsid w:val="6E857140"/>
    <w:rsid w:val="77455457"/>
    <w:rsid w:val="7A3E5AF4"/>
    <w:rsid w:val="7C4758CA"/>
    <w:rsid w:val="7DB67EB7"/>
    <w:rsid w:val="7DBD5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C62AE-84B0-4F99-901E-D65CCE97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53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153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515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85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1536"/>
    <w:pPr>
      <w:ind w:firstLineChars="200" w:firstLine="420"/>
    </w:pPr>
    <w:rPr>
      <w:rFonts w:asciiTheme="minorHAnsi" w:eastAsiaTheme="minorEastAsia" w:hAnsiTheme="minorHAnsi" w:cstheme="minorBidi"/>
    </w:rPr>
  </w:style>
  <w:style w:type="character" w:customStyle="1" w:styleId="Char0">
    <w:name w:val="页眉 Char"/>
    <w:basedOn w:val="a0"/>
    <w:link w:val="a4"/>
    <w:uiPriority w:val="99"/>
    <w:qFormat/>
    <w:rsid w:val="00851536"/>
    <w:rPr>
      <w:sz w:val="18"/>
      <w:szCs w:val="18"/>
    </w:rPr>
  </w:style>
  <w:style w:type="character" w:customStyle="1" w:styleId="Char">
    <w:name w:val="页脚 Char"/>
    <w:basedOn w:val="a0"/>
    <w:link w:val="a3"/>
    <w:uiPriority w:val="99"/>
    <w:qFormat/>
    <w:rsid w:val="00851536"/>
    <w:rPr>
      <w:sz w:val="18"/>
      <w:szCs w:val="18"/>
    </w:rPr>
  </w:style>
  <w:style w:type="paragraph" w:styleId="a7">
    <w:name w:val="Balloon Text"/>
    <w:basedOn w:val="a"/>
    <w:link w:val="Char1"/>
    <w:uiPriority w:val="99"/>
    <w:semiHidden/>
    <w:unhideWhenUsed/>
    <w:rsid w:val="00380D4A"/>
    <w:rPr>
      <w:sz w:val="18"/>
      <w:szCs w:val="18"/>
    </w:rPr>
  </w:style>
  <w:style w:type="character" w:customStyle="1" w:styleId="Char1">
    <w:name w:val="批注框文本 Char"/>
    <w:basedOn w:val="a0"/>
    <w:link w:val="a7"/>
    <w:uiPriority w:val="99"/>
    <w:semiHidden/>
    <w:rsid w:val="00380D4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themeOverride" Target="../theme/themeOverride1.xml"/><Relationship Id="rId4"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人员结构图</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rgbClr val="00B050"/>
            </a:solidFill>
            <a:ln>
              <a:noFill/>
            </a:ln>
            <a:effectLst>
              <a:outerShdw blurRad="50800" dist="50800" dir="5400000" algn="ctr" rotWithShape="0">
                <a:srgbClr val="00B0F0">
                  <a:alpha val="100000"/>
                </a:srgbClr>
              </a:outerShdw>
            </a:effectLst>
          </c:spPr>
          <c:invertIfNegative val="0"/>
          <c:cat>
            <c:strRef>
              <c:f>Sheet1!$A$2:$A$5</c:f>
              <c:strCache>
                <c:ptCount val="4"/>
                <c:pt idx="0">
                  <c:v>正式在编</c:v>
                </c:pt>
                <c:pt idx="1">
                  <c:v>借调人员</c:v>
                </c:pt>
                <c:pt idx="2">
                  <c:v>公益人员</c:v>
                </c:pt>
                <c:pt idx="3">
                  <c:v>跟班学习</c:v>
                </c:pt>
              </c:strCache>
            </c:strRef>
          </c:cat>
          <c:val>
            <c:numRef>
              <c:f>Sheet1!$B$2:$B$5</c:f>
              <c:numCache>
                <c:formatCode>General</c:formatCode>
                <c:ptCount val="4"/>
                <c:pt idx="0">
                  <c:v>6</c:v>
                </c:pt>
                <c:pt idx="1">
                  <c:v>5</c:v>
                </c:pt>
                <c:pt idx="2">
                  <c:v>6</c:v>
                </c:pt>
                <c:pt idx="3">
                  <c:v>2</c:v>
                </c:pt>
              </c:numCache>
            </c:numRef>
          </c:val>
        </c:ser>
        <c:ser>
          <c:idx val="1"/>
          <c:order val="1"/>
          <c:tx>
            <c:strRef>
              <c:f>Sheet1!$C$1</c:f>
              <c:strCache>
                <c:ptCount val="1"/>
                <c:pt idx="0">
                  <c:v>系列 2</c:v>
                </c:pt>
              </c:strCache>
            </c:strRef>
          </c:tx>
          <c:spPr>
            <a:solidFill>
              <a:schemeClr val="accent2"/>
            </a:solidFill>
            <a:ln>
              <a:noFill/>
            </a:ln>
            <a:effectLst/>
          </c:spPr>
          <c:invertIfNegative val="0"/>
          <c:cat>
            <c:strRef>
              <c:f>Sheet1!$A$2:$A$5</c:f>
              <c:strCache>
                <c:ptCount val="4"/>
                <c:pt idx="0">
                  <c:v>正式在编</c:v>
                </c:pt>
                <c:pt idx="1">
                  <c:v>借调人员</c:v>
                </c:pt>
                <c:pt idx="2">
                  <c:v>公益人员</c:v>
                </c:pt>
                <c:pt idx="3">
                  <c:v>跟班学习</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cat>
            <c:strRef>
              <c:f>Sheet1!$A$2:$A$5</c:f>
              <c:strCache>
                <c:ptCount val="4"/>
                <c:pt idx="0">
                  <c:v>正式在编</c:v>
                </c:pt>
                <c:pt idx="1">
                  <c:v>借调人员</c:v>
                </c:pt>
                <c:pt idx="2">
                  <c:v>公益人员</c:v>
                </c:pt>
                <c:pt idx="3">
                  <c:v>跟班学习</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5194880"/>
        <c:axId val="35197056"/>
      </c:barChart>
      <c:catAx>
        <c:axId val="35194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197056"/>
        <c:crosses val="autoZero"/>
        <c:auto val="1"/>
        <c:lblAlgn val="ctr"/>
        <c:lblOffset val="100"/>
        <c:noMultiLvlLbl val="0"/>
      </c:catAx>
      <c:valAx>
        <c:axId val="3519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19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一般公共预算支出增减变化</a:t>
            </a:r>
          </a:p>
        </c:rich>
      </c:tx>
      <c:layout>
        <c:manualLayout>
          <c:xMode val="edge"/>
          <c:yMode val="edge"/>
          <c:x val="0.33114956736712037"/>
          <c:y val="5.6980056980057009E-3"/>
        </c:manualLayout>
      </c:layout>
      <c:overlay val="0"/>
      <c:spPr>
        <a:noFill/>
        <a:ln>
          <a:noFill/>
        </a:ln>
        <a:effectLst/>
      </c:spPr>
    </c:title>
    <c:autoTitleDeleted val="0"/>
    <c:plotArea>
      <c:layout>
        <c:manualLayout>
          <c:layoutTarget val="inner"/>
          <c:xMode val="edge"/>
          <c:yMode val="edge"/>
          <c:x val="5.782329713721629E-2"/>
          <c:y val="7.7538461538461514E-2"/>
          <c:w val="0.91416584402764056"/>
          <c:h val="0.75700512820512844"/>
        </c:manualLayout>
      </c:layout>
      <c:barChart>
        <c:barDir val="col"/>
        <c:grouping val="clustered"/>
        <c:varyColors val="0"/>
        <c:ser>
          <c:idx val="0"/>
          <c:order val="0"/>
          <c:tx>
            <c:strRef>
              <c:f>Sheet1!$B$1</c:f>
              <c:strCache>
                <c:ptCount val="1"/>
                <c:pt idx="0">
                  <c:v>2018</c:v>
                </c:pt>
              </c:strCache>
            </c:strRef>
          </c:tx>
          <c:spPr>
            <a:solidFill>
              <a:srgbClr val="00B050"/>
            </a:solidFill>
            <a:ln>
              <a:noFill/>
            </a:ln>
            <a:effectLst/>
          </c:spPr>
          <c:invertIfNegative val="0"/>
          <c:cat>
            <c:strRef>
              <c:f>Sheet1!$A$2:$A$4</c:f>
              <c:strCache>
                <c:ptCount val="3"/>
                <c:pt idx="0">
                  <c:v>人员经费</c:v>
                </c:pt>
                <c:pt idx="1">
                  <c:v>公用经费</c:v>
                </c:pt>
                <c:pt idx="2">
                  <c:v>专项业务经费</c:v>
                </c:pt>
              </c:strCache>
            </c:strRef>
          </c:cat>
          <c:val>
            <c:numRef>
              <c:f>Sheet1!$B$2:$B$4</c:f>
              <c:numCache>
                <c:formatCode>General</c:formatCode>
                <c:ptCount val="3"/>
                <c:pt idx="0">
                  <c:v>42.54</c:v>
                </c:pt>
                <c:pt idx="1">
                  <c:v>2.4</c:v>
                </c:pt>
                <c:pt idx="2">
                  <c:v>220</c:v>
                </c:pt>
              </c:numCache>
            </c:numRef>
          </c:val>
        </c:ser>
        <c:ser>
          <c:idx val="1"/>
          <c:order val="1"/>
          <c:tx>
            <c:strRef>
              <c:f>Sheet1!$C$1</c:f>
              <c:strCache>
                <c:ptCount val="1"/>
                <c:pt idx="0">
                  <c:v>2017</c:v>
                </c:pt>
              </c:strCache>
            </c:strRef>
          </c:tx>
          <c:spPr>
            <a:solidFill>
              <a:schemeClr val="accent2"/>
            </a:solidFill>
            <a:ln>
              <a:noFill/>
            </a:ln>
            <a:effectLst/>
          </c:spPr>
          <c:invertIfNegative val="0"/>
          <c:cat>
            <c:strRef>
              <c:f>Sheet1!$A$2:$A$4</c:f>
              <c:strCache>
                <c:ptCount val="3"/>
                <c:pt idx="0">
                  <c:v>人员经费</c:v>
                </c:pt>
                <c:pt idx="1">
                  <c:v>公用经费</c:v>
                </c:pt>
                <c:pt idx="2">
                  <c:v>专项业务经费</c:v>
                </c:pt>
              </c:strCache>
            </c:strRef>
          </c:cat>
          <c:val>
            <c:numRef>
              <c:f>Sheet1!$C$2:$C$4</c:f>
              <c:numCache>
                <c:formatCode>General</c:formatCode>
                <c:ptCount val="3"/>
                <c:pt idx="0">
                  <c:v>28.310000000000013</c:v>
                </c:pt>
                <c:pt idx="1">
                  <c:v>3.2</c:v>
                </c:pt>
                <c:pt idx="2">
                  <c:v>20</c:v>
                </c:pt>
              </c:numCache>
            </c:numRef>
          </c:val>
        </c:ser>
        <c:ser>
          <c:idx val="2"/>
          <c:order val="2"/>
          <c:tx>
            <c:strRef>
              <c:f>Sheet1!$D$1</c:f>
              <c:strCache>
                <c:ptCount val="1"/>
              </c:strCache>
            </c:strRef>
          </c:tx>
          <c:spPr>
            <a:solidFill>
              <a:schemeClr val="accent3"/>
            </a:solidFill>
            <a:ln>
              <a:noFill/>
            </a:ln>
            <a:effectLst/>
          </c:spPr>
          <c:invertIfNegative val="0"/>
          <c:cat>
            <c:strRef>
              <c:f>Sheet1!$A$2:$A$4</c:f>
              <c:strCache>
                <c:ptCount val="3"/>
                <c:pt idx="0">
                  <c:v>人员经费</c:v>
                </c:pt>
                <c:pt idx="1">
                  <c:v>公用经费</c:v>
                </c:pt>
                <c:pt idx="2">
                  <c:v>专项业务经费</c:v>
                </c:pt>
              </c:strCache>
            </c:strRef>
          </c:cat>
          <c:val>
            <c:numRef>
              <c:f>Sheet1!$D$2:$D$4</c:f>
              <c:numCache>
                <c:formatCode>General</c:formatCode>
                <c:ptCount val="3"/>
              </c:numCache>
            </c:numRef>
          </c:val>
        </c:ser>
        <c:dLbls>
          <c:showLegendKey val="0"/>
          <c:showVal val="0"/>
          <c:showCatName val="0"/>
          <c:showSerName val="0"/>
          <c:showPercent val="0"/>
          <c:showBubbleSize val="0"/>
        </c:dLbls>
        <c:gapWidth val="219"/>
        <c:overlap val="-27"/>
        <c:axId val="35205216"/>
        <c:axId val="35205760"/>
      </c:barChart>
      <c:catAx>
        <c:axId val="352052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205760"/>
        <c:crosses val="autoZero"/>
        <c:auto val="1"/>
        <c:lblAlgn val="ctr"/>
        <c:lblOffset val="100"/>
        <c:noMultiLvlLbl val="0"/>
      </c:catAx>
      <c:valAx>
        <c:axId val="3520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205216"/>
        <c:crosses val="autoZero"/>
        <c:crossBetween val="between"/>
      </c:valAx>
      <c:spPr>
        <a:noFill/>
        <a:ln>
          <a:noFill/>
        </a:ln>
        <a:effectLst/>
      </c:spPr>
    </c:plotArea>
    <c:legend>
      <c:legendPos val="b"/>
      <c:legendEntry>
        <c:idx val="2"/>
        <c:delete val="1"/>
      </c:legendEntry>
      <c:layout>
        <c:manualLayout>
          <c:xMode val="edge"/>
          <c:yMode val="edge"/>
          <c:x val="0.40006180469715702"/>
          <c:y val="0.9364554317548754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基本支出</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2018年</c:v>
                </c:pt>
              </c:strCache>
            </c:strRef>
          </c:tx>
          <c:spPr>
            <a:solidFill>
              <a:srgbClr val="00B0F0"/>
            </a:solidFill>
            <a:ln>
              <a:noFill/>
            </a:ln>
            <a:effectLst/>
          </c:spPr>
          <c:invertIfNegative val="0"/>
          <c:cat>
            <c:strRef>
              <c:f>Sheet1!$A$2:$A$4</c:f>
              <c:strCache>
                <c:ptCount val="3"/>
                <c:pt idx="0">
                  <c:v>基本工资</c:v>
                </c:pt>
                <c:pt idx="1">
                  <c:v>商品和服务支出</c:v>
                </c:pt>
              </c:strCache>
            </c:strRef>
          </c:cat>
          <c:val>
            <c:numRef>
              <c:f>Sheet1!$B$2:$B$4</c:f>
              <c:numCache>
                <c:formatCode>General</c:formatCode>
                <c:ptCount val="3"/>
                <c:pt idx="0">
                  <c:v>42.54</c:v>
                </c:pt>
                <c:pt idx="1">
                  <c:v>2.4</c:v>
                </c:pt>
              </c:numCache>
            </c:numRef>
          </c:val>
        </c:ser>
        <c:ser>
          <c:idx val="1"/>
          <c:order val="1"/>
          <c:tx>
            <c:strRef>
              <c:f>Sheet1!$C$1</c:f>
              <c:strCache>
                <c:ptCount val="1"/>
                <c:pt idx="0">
                  <c:v>2017年</c:v>
                </c:pt>
              </c:strCache>
            </c:strRef>
          </c:tx>
          <c:spPr>
            <a:solidFill>
              <a:srgbClr val="FFFF00"/>
            </a:solidFill>
            <a:ln>
              <a:noFill/>
            </a:ln>
            <a:effectLst/>
          </c:spPr>
          <c:invertIfNegative val="0"/>
          <c:cat>
            <c:strRef>
              <c:f>Sheet1!$A$2:$A$4</c:f>
              <c:strCache>
                <c:ptCount val="3"/>
                <c:pt idx="0">
                  <c:v>基本工资</c:v>
                </c:pt>
                <c:pt idx="1">
                  <c:v>商品和服务支出</c:v>
                </c:pt>
              </c:strCache>
            </c:strRef>
          </c:cat>
          <c:val>
            <c:numRef>
              <c:f>Sheet1!$C$2:$C$4</c:f>
              <c:numCache>
                <c:formatCode>General</c:formatCode>
                <c:ptCount val="3"/>
                <c:pt idx="0">
                  <c:v>28.310000000000013</c:v>
                </c:pt>
                <c:pt idx="1">
                  <c:v>3.2</c:v>
                </c:pt>
              </c:numCache>
            </c:numRef>
          </c:val>
        </c:ser>
        <c:dLbls>
          <c:showLegendKey val="0"/>
          <c:showVal val="0"/>
          <c:showCatName val="0"/>
          <c:showSerName val="0"/>
          <c:showPercent val="0"/>
          <c:showBubbleSize val="0"/>
        </c:dLbls>
        <c:gapWidth val="182"/>
        <c:axId val="83150704"/>
        <c:axId val="83152336"/>
      </c:barChart>
      <c:catAx>
        <c:axId val="831507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152336"/>
        <c:crosses val="autoZero"/>
        <c:auto val="1"/>
        <c:lblAlgn val="ctr"/>
        <c:lblOffset val="100"/>
        <c:noMultiLvlLbl val="0"/>
      </c:catAx>
      <c:valAx>
        <c:axId val="83152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15070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项目支出</a:t>
            </a:r>
          </a:p>
        </c:rich>
      </c:tx>
      <c:layout>
        <c:manualLayout>
          <c:xMode val="edge"/>
          <c:yMode val="edge"/>
          <c:x val="0.45541666666666736"/>
          <c:y val="2.610398085708071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blipFill>
              <a:blip xmlns:r="http://schemas.openxmlformats.org/officeDocument/2006/relationships" r:embed="rId2"/>
              <a:stretch>
                <a:fillRect/>
              </a:stretch>
            </a:blipFill>
            <a:ln>
              <a:noFill/>
            </a:ln>
            <a:effectLst/>
          </c:spPr>
          <c:invertIfNegative val="0"/>
          <c:cat>
            <c:strRef>
              <c:f>Sheet1!$A$2:$A$3</c:f>
              <c:strCache>
                <c:ptCount val="2"/>
                <c:pt idx="0">
                  <c:v>商品和服务支出</c:v>
                </c:pt>
                <c:pt idx="1">
                  <c:v>对个人和家庭的补助支出</c:v>
                </c:pt>
              </c:strCache>
            </c:strRef>
          </c:cat>
          <c:val>
            <c:numRef>
              <c:f>Sheet1!$B$2:$B$3</c:f>
              <c:numCache>
                <c:formatCode>General</c:formatCode>
                <c:ptCount val="2"/>
                <c:pt idx="0">
                  <c:v>20</c:v>
                </c:pt>
                <c:pt idx="1">
                  <c:v>200</c:v>
                </c:pt>
              </c:numCache>
            </c:numRef>
          </c:val>
        </c:ser>
        <c:ser>
          <c:idx val="1"/>
          <c:order val="1"/>
          <c:tx>
            <c:strRef>
              <c:f>Sheet1!$C$1</c:f>
              <c:strCache>
                <c:ptCount val="1"/>
                <c:pt idx="0">
                  <c:v>2017</c:v>
                </c:pt>
              </c:strCache>
            </c:strRef>
          </c:tx>
          <c:spPr>
            <a:gradFill rotWithShape="1">
              <a:gsLst>
                <a:gs pos="0">
                  <a:srgbClr val="14CD68"/>
                </a:gs>
                <a:gs pos="100000">
                  <a:srgbClr val="0B6E38"/>
                </a:gs>
              </a:gsLst>
              <a:lin ang="5400000" scaled="0"/>
            </a:gradFill>
            <a:ln>
              <a:noFill/>
            </a:ln>
            <a:effectLst/>
          </c:spPr>
          <c:invertIfNegative val="0"/>
          <c:cat>
            <c:strRef>
              <c:f>Sheet1!$A$2:$A$3</c:f>
              <c:strCache>
                <c:ptCount val="2"/>
                <c:pt idx="0">
                  <c:v>商品和服务支出</c:v>
                </c:pt>
                <c:pt idx="1">
                  <c:v>对个人和家庭的补助支出</c:v>
                </c:pt>
              </c:strCache>
            </c:strRef>
          </c:cat>
          <c:val>
            <c:numRef>
              <c:f>Sheet1!$C$2:$C$3</c:f>
              <c:numCache>
                <c:formatCode>General</c:formatCode>
                <c:ptCount val="2"/>
                <c:pt idx="0">
                  <c:v>20</c:v>
                </c:pt>
                <c:pt idx="1">
                  <c:v>0</c:v>
                </c:pt>
              </c:numCache>
            </c:numRef>
          </c:val>
        </c:ser>
        <c:ser>
          <c:idx val="2"/>
          <c:order val="2"/>
          <c:tx>
            <c:strRef>
              <c:f>Sheet1!#REF!</c:f>
              <c:strCache>
                <c:ptCount val="1"/>
              </c:strCache>
            </c:strRef>
          </c:tx>
          <c:spPr>
            <a:blipFill rotWithShape="1">
              <a:blip xmlns:r="http://schemas.openxmlformats.org/officeDocument/2006/relationships" r:embed="rId2"/>
              <a:stretch>
                <a:fillRect/>
              </a:stretch>
            </a:blipFill>
            <a:ln>
              <a:noFill/>
            </a:ln>
            <a:effectLst/>
          </c:spPr>
          <c:invertIfNegative val="0"/>
          <c:cat>
            <c:strRef>
              <c:f>Sheet1!$A$2:$A$3</c:f>
              <c:strCache>
                <c:ptCount val="2"/>
                <c:pt idx="0">
                  <c:v>商品和服务支出</c:v>
                </c:pt>
                <c:pt idx="1">
                  <c:v>对个人和家庭的补助支出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3153424"/>
        <c:axId val="83153968"/>
      </c:barChart>
      <c:catAx>
        <c:axId val="8315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153968"/>
        <c:crosses val="autoZero"/>
        <c:auto val="1"/>
        <c:lblAlgn val="ctr"/>
        <c:lblOffset val="100"/>
        <c:noMultiLvlLbl val="0"/>
      </c:catAx>
      <c:valAx>
        <c:axId val="8315396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153424"/>
        <c:crosses val="autoZero"/>
        <c:crossBetween val="between"/>
      </c:valAx>
      <c:spPr>
        <a:noFill/>
        <a:ln>
          <a:noFill/>
        </a:ln>
        <a:effectLst/>
      </c:spPr>
    </c:plotArea>
    <c:plotVisOnly val="1"/>
    <c:dispBlanksAs val="gap"/>
    <c:showDLblsOverMax val="0"/>
  </c:chart>
  <c:spPr>
    <a:blipFill>
      <a:blip xmlns:r="http://schemas.openxmlformats.org/officeDocument/2006/relationships" r:embed="rId3"/>
      <a:stretch>
        <a:fillRect/>
      </a:stretch>
    </a:blip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609</Words>
  <Characters>3476</Characters>
  <Application>Microsoft Office Word</Application>
  <DocSecurity>0</DocSecurity>
  <Lines>28</Lines>
  <Paragraphs>8</Paragraphs>
  <ScaleCrop>false</ScaleCrop>
  <Company>User</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吴瑛</cp:lastModifiedBy>
  <cp:revision>37</cp:revision>
  <dcterms:created xsi:type="dcterms:W3CDTF">2018-02-12T02:12:00Z</dcterms:created>
  <dcterms:modified xsi:type="dcterms:W3CDTF">2018-03-19T06:08:00Z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